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02353" w14:textId="77777777" w:rsidR="00CC3E1E" w:rsidRPr="00D22B79" w:rsidRDefault="00CC3E1E" w:rsidP="00D22B79">
      <w:pPr>
        <w:pStyle w:val="Title"/>
        <w:pageBreakBefore/>
        <w:jc w:val="center"/>
        <w:rPr>
          <w:rFonts w:ascii="Sylfaen" w:hAnsi="Sylfaen"/>
          <w:sz w:val="32"/>
          <w:szCs w:val="32"/>
        </w:rPr>
      </w:pPr>
      <w:r w:rsidRPr="00D22B79">
        <w:rPr>
          <w:rFonts w:ascii="Sylfaen" w:hAnsi="Sylfaen"/>
          <w:sz w:val="32"/>
          <w:szCs w:val="32"/>
        </w:rPr>
        <w:t xml:space="preserve">REFLECTION AND OBSERVATION ON </w:t>
      </w:r>
      <w:r w:rsidRPr="00D22B79">
        <w:rPr>
          <w:rFonts w:ascii="Sylfaen" w:hAnsi="Sylfaen"/>
          <w:i/>
          <w:iCs/>
          <w:sz w:val="32"/>
          <w:szCs w:val="32"/>
        </w:rPr>
        <w:t>CHRIST AND CULTURE</w:t>
      </w:r>
    </w:p>
    <w:p w14:paraId="17E80869" w14:textId="77777777" w:rsidR="00CC3E1E" w:rsidRPr="00D22B79" w:rsidRDefault="00CC3E1E" w:rsidP="00D22B79">
      <w:pPr>
        <w:pStyle w:val="Title"/>
        <w:jc w:val="center"/>
        <w:rPr>
          <w:rFonts w:ascii="Sylfaen" w:hAnsi="Sylfaen"/>
          <w:sz w:val="32"/>
          <w:szCs w:val="32"/>
        </w:rPr>
      </w:pPr>
      <w:r w:rsidRPr="00D22B79">
        <w:rPr>
          <w:rFonts w:ascii="Sylfaen" w:hAnsi="Sylfaen"/>
          <w:sz w:val="32"/>
          <w:szCs w:val="32"/>
        </w:rPr>
        <w:t>OF H. RICHARD NIEBUHR</w:t>
      </w:r>
    </w:p>
    <w:p w14:paraId="3B977525" w14:textId="77777777" w:rsidR="00CC3E1E" w:rsidRPr="00580097" w:rsidRDefault="00CC3E1E" w:rsidP="00CC3E1E">
      <w:pPr>
        <w:pStyle w:val="Title"/>
        <w:jc w:val="both"/>
        <w:rPr>
          <w:rFonts w:ascii="Sylfaen" w:hAnsi="Sylfaen"/>
          <w:bCs/>
          <w:sz w:val="28"/>
          <w:szCs w:val="28"/>
        </w:rPr>
      </w:pPr>
    </w:p>
    <w:p w14:paraId="3C75CD7B" w14:textId="77777777" w:rsidR="00CC3E1E" w:rsidRPr="007065D7" w:rsidRDefault="00CC3E1E" w:rsidP="00CC3E1E">
      <w:pPr>
        <w:pStyle w:val="Title"/>
        <w:jc w:val="both"/>
        <w:rPr>
          <w:rFonts w:ascii="Sylfaen" w:hAnsi="Sylfaen"/>
          <w:bCs/>
          <w:sz w:val="28"/>
          <w:szCs w:val="28"/>
        </w:rPr>
      </w:pPr>
      <w:r w:rsidRPr="007065D7">
        <w:rPr>
          <w:rFonts w:ascii="Sylfaen" w:hAnsi="Sylfaen"/>
          <w:bCs/>
          <w:sz w:val="28"/>
          <w:szCs w:val="28"/>
        </w:rPr>
        <w:t>1. Introduction</w:t>
      </w:r>
    </w:p>
    <w:p w14:paraId="0E58B4A3" w14:textId="77777777" w:rsidR="00CC3E1E" w:rsidRPr="007065D7" w:rsidRDefault="00CC3E1E" w:rsidP="00CC3E1E">
      <w:pPr>
        <w:pStyle w:val="Title"/>
        <w:jc w:val="both"/>
        <w:rPr>
          <w:rFonts w:ascii="Sylfaen" w:hAnsi="Sylfaen"/>
          <w:bCs/>
          <w:sz w:val="28"/>
          <w:szCs w:val="28"/>
        </w:rPr>
      </w:pPr>
      <w:r w:rsidRPr="007A7DB6">
        <w:rPr>
          <w:rFonts w:ascii="Sylfaen" w:hAnsi="Sylfaen"/>
          <w:bCs/>
          <w:sz w:val="28"/>
          <w:szCs w:val="28"/>
        </w:rPr>
        <w:t>This write</w:t>
      </w:r>
      <w:r>
        <w:rPr>
          <w:rFonts w:ascii="Sylfaen" w:hAnsi="Sylfaen"/>
          <w:bCs/>
          <w:sz w:val="28"/>
          <w:szCs w:val="28"/>
        </w:rPr>
        <w:t>-</w:t>
      </w:r>
      <w:r w:rsidRPr="007A7DB6">
        <w:rPr>
          <w:rFonts w:ascii="Sylfaen" w:hAnsi="Sylfaen"/>
          <w:bCs/>
          <w:sz w:val="28"/>
          <w:szCs w:val="28"/>
        </w:rPr>
        <w:t xml:space="preserve">out comes in a mixed form of a journal and an essay. </w:t>
      </w:r>
      <w:r>
        <w:rPr>
          <w:rFonts w:ascii="Sylfaen" w:hAnsi="Sylfaen"/>
          <w:bCs/>
          <w:sz w:val="28"/>
          <w:szCs w:val="28"/>
        </w:rPr>
        <w:t>It is a</w:t>
      </w:r>
      <w:r w:rsidRPr="007065D7">
        <w:rPr>
          <w:rFonts w:ascii="Sylfaen" w:hAnsi="Sylfaen"/>
          <w:bCs/>
          <w:sz w:val="28"/>
          <w:szCs w:val="28"/>
        </w:rPr>
        <w:t xml:space="preserve"> reflection is prepared from the perspective of my February</w:t>
      </w:r>
      <w:r>
        <w:rPr>
          <w:rFonts w:ascii="Sylfaen" w:hAnsi="Sylfaen"/>
          <w:bCs/>
          <w:sz w:val="28"/>
          <w:szCs w:val="28"/>
        </w:rPr>
        <w:t>–</w:t>
      </w:r>
      <w:r w:rsidRPr="007065D7">
        <w:rPr>
          <w:rFonts w:ascii="Sylfaen" w:hAnsi="Sylfaen"/>
          <w:bCs/>
          <w:sz w:val="28"/>
          <w:szCs w:val="28"/>
        </w:rPr>
        <w:t xml:space="preserve">March 2000 worship experiences at [a] the St. Gregory the Illuminator Cathedral of the Armenian Orthodox Apostolic Church, Antelias-Lebanon, the headquarters of my Brotherhood, and [b] the ecumenical meetings I participated in Damascus-Syria and Boston, MA, USA. </w:t>
      </w:r>
    </w:p>
    <w:p w14:paraId="7C169998" w14:textId="77777777" w:rsidR="00CC3E1E" w:rsidRPr="007065D7" w:rsidRDefault="00CC3E1E" w:rsidP="00CC3E1E">
      <w:pPr>
        <w:pStyle w:val="Title"/>
        <w:jc w:val="both"/>
        <w:rPr>
          <w:rFonts w:ascii="Sylfaen" w:hAnsi="Sylfaen"/>
          <w:bCs/>
          <w:sz w:val="28"/>
          <w:szCs w:val="28"/>
        </w:rPr>
      </w:pPr>
    </w:p>
    <w:p w14:paraId="0A0F47E5" w14:textId="77777777" w:rsidR="00CC3E1E" w:rsidRPr="007065D7" w:rsidRDefault="00CC3E1E" w:rsidP="00CC3E1E">
      <w:pPr>
        <w:pStyle w:val="Title"/>
        <w:jc w:val="both"/>
        <w:rPr>
          <w:rFonts w:ascii="Sylfaen" w:hAnsi="Sylfaen"/>
          <w:bCs/>
          <w:sz w:val="28"/>
          <w:szCs w:val="28"/>
        </w:rPr>
      </w:pPr>
      <w:r w:rsidRPr="007065D7">
        <w:rPr>
          <w:rFonts w:ascii="Sylfaen" w:hAnsi="Sylfaen"/>
          <w:bCs/>
          <w:sz w:val="28"/>
          <w:szCs w:val="28"/>
        </w:rPr>
        <w:t xml:space="preserve">Broadly speaking, my Armenian Church context can be categorized as worship experiences of </w:t>
      </w:r>
      <w:r>
        <w:rPr>
          <w:rFonts w:ascii="Sylfaen" w:hAnsi="Sylfaen"/>
          <w:bCs/>
          <w:sz w:val="28"/>
          <w:szCs w:val="28"/>
        </w:rPr>
        <w:t>“</w:t>
      </w:r>
      <w:r w:rsidRPr="007065D7">
        <w:rPr>
          <w:rFonts w:ascii="Sylfaen" w:hAnsi="Sylfaen"/>
          <w:bCs/>
          <w:sz w:val="28"/>
          <w:szCs w:val="28"/>
        </w:rPr>
        <w:t>The Christ of Culture,</w:t>
      </w:r>
      <w:r>
        <w:rPr>
          <w:rFonts w:ascii="Sylfaen" w:hAnsi="Sylfaen"/>
          <w:bCs/>
          <w:sz w:val="28"/>
          <w:szCs w:val="28"/>
        </w:rPr>
        <w:t>”</w:t>
      </w:r>
      <w:r w:rsidRPr="007065D7">
        <w:rPr>
          <w:rFonts w:ascii="Sylfaen" w:hAnsi="Sylfaen"/>
          <w:bCs/>
          <w:sz w:val="28"/>
          <w:szCs w:val="28"/>
        </w:rPr>
        <w:t xml:space="preserve"> </w:t>
      </w:r>
      <w:r>
        <w:rPr>
          <w:rFonts w:ascii="Sylfaen" w:hAnsi="Sylfaen"/>
          <w:bCs/>
          <w:sz w:val="28"/>
          <w:szCs w:val="28"/>
        </w:rPr>
        <w:t>“</w:t>
      </w:r>
      <w:r w:rsidRPr="007065D7">
        <w:rPr>
          <w:rFonts w:ascii="Sylfaen" w:hAnsi="Sylfaen"/>
          <w:bCs/>
          <w:sz w:val="28"/>
          <w:szCs w:val="28"/>
        </w:rPr>
        <w:t>Christ Above Culture</w:t>
      </w:r>
      <w:r>
        <w:rPr>
          <w:rFonts w:ascii="Sylfaen" w:hAnsi="Sylfaen"/>
          <w:bCs/>
          <w:sz w:val="28"/>
          <w:szCs w:val="28"/>
        </w:rPr>
        <w:t>”</w:t>
      </w:r>
      <w:r w:rsidRPr="007065D7">
        <w:rPr>
          <w:rFonts w:ascii="Sylfaen" w:hAnsi="Sylfaen"/>
          <w:bCs/>
          <w:sz w:val="28"/>
          <w:szCs w:val="28"/>
        </w:rPr>
        <w:t xml:space="preserve"> and </w:t>
      </w:r>
      <w:r>
        <w:rPr>
          <w:rFonts w:ascii="Sylfaen" w:hAnsi="Sylfaen"/>
          <w:bCs/>
          <w:sz w:val="28"/>
          <w:szCs w:val="28"/>
        </w:rPr>
        <w:t>“</w:t>
      </w:r>
      <w:r w:rsidRPr="007065D7">
        <w:rPr>
          <w:rFonts w:ascii="Sylfaen" w:hAnsi="Sylfaen"/>
          <w:bCs/>
          <w:sz w:val="28"/>
          <w:szCs w:val="28"/>
        </w:rPr>
        <w:t>Christ the Transformer of Culture.</w:t>
      </w:r>
      <w:r>
        <w:rPr>
          <w:rFonts w:ascii="Sylfaen" w:hAnsi="Sylfaen"/>
          <w:bCs/>
          <w:sz w:val="28"/>
          <w:szCs w:val="28"/>
        </w:rPr>
        <w:t>”</w:t>
      </w:r>
      <w:r w:rsidRPr="007065D7">
        <w:rPr>
          <w:rFonts w:ascii="Sylfaen" w:hAnsi="Sylfaen"/>
          <w:bCs/>
          <w:sz w:val="28"/>
          <w:szCs w:val="28"/>
        </w:rPr>
        <w:t xml:space="preserve"> On the other hand, my ecumenical context can be categorized basically as worship experiences of </w:t>
      </w:r>
      <w:r>
        <w:rPr>
          <w:rFonts w:ascii="Sylfaen" w:hAnsi="Sylfaen"/>
          <w:bCs/>
          <w:sz w:val="28"/>
          <w:szCs w:val="28"/>
        </w:rPr>
        <w:t>“</w:t>
      </w:r>
      <w:r w:rsidRPr="007065D7">
        <w:rPr>
          <w:rFonts w:ascii="Sylfaen" w:hAnsi="Sylfaen"/>
          <w:bCs/>
          <w:sz w:val="28"/>
          <w:szCs w:val="28"/>
        </w:rPr>
        <w:t>Christ and Culture</w:t>
      </w:r>
      <w:r>
        <w:rPr>
          <w:rFonts w:ascii="Sylfaen" w:hAnsi="Sylfaen"/>
          <w:bCs/>
          <w:sz w:val="28"/>
          <w:szCs w:val="28"/>
        </w:rPr>
        <w:t>”</w:t>
      </w:r>
      <w:r w:rsidRPr="007065D7">
        <w:rPr>
          <w:rFonts w:ascii="Sylfaen" w:hAnsi="Sylfaen"/>
          <w:bCs/>
          <w:sz w:val="28"/>
          <w:szCs w:val="28"/>
        </w:rPr>
        <w:t xml:space="preserve"> and "Christ and Culture in Paradox.</w:t>
      </w:r>
      <w:r>
        <w:rPr>
          <w:rFonts w:ascii="Sylfaen" w:hAnsi="Sylfaen"/>
          <w:bCs/>
          <w:sz w:val="28"/>
          <w:szCs w:val="28"/>
        </w:rPr>
        <w:t>”</w:t>
      </w:r>
      <w:r w:rsidRPr="007065D7">
        <w:rPr>
          <w:rFonts w:ascii="Sylfaen" w:hAnsi="Sylfaen"/>
          <w:bCs/>
          <w:sz w:val="28"/>
          <w:szCs w:val="28"/>
        </w:rPr>
        <w:t xml:space="preserve"> This is to say that I was in contact with the five types of experiences analyzed by Niebuhr.</w:t>
      </w:r>
    </w:p>
    <w:p w14:paraId="0745D06C" w14:textId="77777777" w:rsidR="00CC3E1E" w:rsidRPr="007A7DB6" w:rsidRDefault="00CC3E1E" w:rsidP="00CC3E1E">
      <w:pPr>
        <w:pStyle w:val="Title"/>
        <w:rPr>
          <w:rFonts w:ascii="Sylfaen" w:hAnsi="Sylfaen"/>
          <w:b/>
          <w:sz w:val="28"/>
          <w:szCs w:val="28"/>
          <w:u w:val="single"/>
        </w:rPr>
      </w:pPr>
    </w:p>
    <w:p w14:paraId="1C596381" w14:textId="77777777" w:rsidR="00CC3E1E" w:rsidRPr="00750C46" w:rsidRDefault="00CC3E1E" w:rsidP="00CC3E1E">
      <w:pPr>
        <w:pStyle w:val="Title"/>
        <w:rPr>
          <w:rFonts w:ascii="Sylfaen" w:hAnsi="Sylfaen"/>
          <w:bCs/>
          <w:sz w:val="28"/>
          <w:szCs w:val="28"/>
        </w:rPr>
      </w:pPr>
      <w:r w:rsidRPr="00750C46">
        <w:rPr>
          <w:rFonts w:ascii="Sylfaen" w:hAnsi="Sylfaen"/>
          <w:bCs/>
          <w:sz w:val="28"/>
          <w:szCs w:val="28"/>
        </w:rPr>
        <w:t>2. Armenian Church Context</w:t>
      </w:r>
    </w:p>
    <w:p w14:paraId="2C4AFC0B" w14:textId="77777777" w:rsidR="00CC3E1E" w:rsidRPr="00021725" w:rsidRDefault="00CC3E1E" w:rsidP="00CC3E1E">
      <w:pPr>
        <w:pStyle w:val="Title"/>
        <w:jc w:val="both"/>
        <w:rPr>
          <w:rFonts w:ascii="Sylfaen" w:hAnsi="Sylfaen"/>
          <w:bCs/>
          <w:sz w:val="28"/>
          <w:szCs w:val="28"/>
        </w:rPr>
      </w:pPr>
      <w:r w:rsidRPr="00021725">
        <w:rPr>
          <w:rFonts w:ascii="Sylfaen" w:hAnsi="Sylfaen"/>
          <w:bCs/>
          <w:sz w:val="28"/>
          <w:szCs w:val="28"/>
        </w:rPr>
        <w:t>1974</w:t>
      </w:r>
      <w:r>
        <w:rPr>
          <w:rFonts w:ascii="Sylfaen" w:hAnsi="Sylfaen"/>
          <w:bCs/>
          <w:sz w:val="28"/>
          <w:szCs w:val="28"/>
        </w:rPr>
        <w:t>–</w:t>
      </w:r>
      <w:r w:rsidRPr="00021725">
        <w:rPr>
          <w:rFonts w:ascii="Sylfaen" w:hAnsi="Sylfaen"/>
          <w:bCs/>
          <w:sz w:val="28"/>
          <w:szCs w:val="28"/>
        </w:rPr>
        <w:t>1977 I worshipped in the mornings and in the evenings in the same cathedral as a 12</w:t>
      </w:r>
      <w:r>
        <w:rPr>
          <w:rFonts w:ascii="Sylfaen" w:hAnsi="Sylfaen"/>
          <w:bCs/>
          <w:sz w:val="28"/>
          <w:szCs w:val="28"/>
        </w:rPr>
        <w:t>–</w:t>
      </w:r>
      <w:r w:rsidRPr="00021725">
        <w:rPr>
          <w:rFonts w:ascii="Sylfaen" w:hAnsi="Sylfaen"/>
          <w:bCs/>
          <w:sz w:val="28"/>
          <w:szCs w:val="28"/>
        </w:rPr>
        <w:t>16 years old seminarian.</w:t>
      </w:r>
    </w:p>
    <w:p w14:paraId="53B403F7" w14:textId="77777777" w:rsidR="00CC3E1E" w:rsidRPr="00021725" w:rsidRDefault="00CC3E1E" w:rsidP="00CC3E1E">
      <w:pPr>
        <w:pStyle w:val="Title"/>
        <w:jc w:val="both"/>
        <w:rPr>
          <w:rFonts w:ascii="Sylfaen" w:hAnsi="Sylfaen"/>
          <w:bCs/>
          <w:sz w:val="28"/>
          <w:szCs w:val="28"/>
        </w:rPr>
      </w:pPr>
    </w:p>
    <w:p w14:paraId="3C090FFE" w14:textId="77777777" w:rsidR="00CC3E1E" w:rsidRPr="00021725" w:rsidRDefault="00CC3E1E" w:rsidP="00CC3E1E">
      <w:pPr>
        <w:pStyle w:val="Title"/>
        <w:jc w:val="both"/>
        <w:rPr>
          <w:rFonts w:ascii="Sylfaen" w:hAnsi="Sylfaen"/>
          <w:bCs/>
          <w:sz w:val="28"/>
          <w:szCs w:val="28"/>
        </w:rPr>
      </w:pPr>
      <w:r w:rsidRPr="00021725">
        <w:rPr>
          <w:rFonts w:ascii="Sylfaen" w:hAnsi="Sylfaen"/>
          <w:bCs/>
          <w:sz w:val="28"/>
          <w:szCs w:val="28"/>
        </w:rPr>
        <w:t>The cathedral had a very impressive architectural design and I thought it was the only ideal place for communication with God, until I was exposed to the worship buildings and ordo of other Christian and non-Christian faiths.</w:t>
      </w:r>
    </w:p>
    <w:p w14:paraId="42B76761" w14:textId="77777777" w:rsidR="00CC3E1E" w:rsidRPr="007A7DB6" w:rsidRDefault="00CC3E1E" w:rsidP="00CC3E1E">
      <w:pPr>
        <w:pStyle w:val="Title"/>
        <w:rPr>
          <w:rFonts w:ascii="Sylfaen" w:hAnsi="Sylfaen"/>
          <w:b/>
          <w:sz w:val="28"/>
          <w:szCs w:val="28"/>
        </w:rPr>
      </w:pPr>
    </w:p>
    <w:p w14:paraId="1105C17E" w14:textId="77777777" w:rsidR="00CC3E1E" w:rsidRDefault="00CC3E1E" w:rsidP="00CC3E1E">
      <w:pPr>
        <w:pStyle w:val="BodyText"/>
        <w:numPr>
          <w:ilvl w:val="0"/>
          <w:numId w:val="2"/>
        </w:numPr>
        <w:spacing w:after="0"/>
        <w:jc w:val="both"/>
        <w:rPr>
          <w:rFonts w:ascii="Sylfaen" w:hAnsi="Sylfaen"/>
          <w:sz w:val="28"/>
          <w:szCs w:val="28"/>
        </w:rPr>
      </w:pPr>
      <w:r w:rsidRPr="007A7DB6">
        <w:rPr>
          <w:rFonts w:ascii="Sylfaen" w:hAnsi="Sylfaen"/>
          <w:sz w:val="28"/>
          <w:szCs w:val="28"/>
        </w:rPr>
        <w:t>One painting, the Icon of Crucifixion, always caught my intensive attention and became an obstacle of praying</w:t>
      </w:r>
      <w:r>
        <w:rPr>
          <w:rFonts w:ascii="Sylfaen" w:hAnsi="Sylfaen"/>
          <w:sz w:val="28"/>
          <w:szCs w:val="28"/>
        </w:rPr>
        <w:t>:</w:t>
      </w:r>
      <w:r w:rsidRPr="007A7DB6">
        <w:rPr>
          <w:rFonts w:ascii="Sylfaen" w:hAnsi="Sylfaen"/>
          <w:sz w:val="28"/>
          <w:szCs w:val="28"/>
        </w:rPr>
        <w:t xml:space="preserve"> I identified the sorrowful presence of St. Mary with the hardships my grandmother endured as the sole survivor of the Genocide Turks perpetrated against one and half million Armenians in 1915. This very barrier came down on Sunday, February 27, when one of our bishops asked me during the celebration of the Holy Liturgy, </w:t>
      </w:r>
      <w:r>
        <w:rPr>
          <w:rFonts w:ascii="Sylfaen" w:hAnsi="Sylfaen"/>
          <w:sz w:val="28"/>
          <w:szCs w:val="28"/>
        </w:rPr>
        <w:t>“</w:t>
      </w:r>
      <w:r w:rsidRPr="007A7DB6">
        <w:rPr>
          <w:rFonts w:ascii="Sylfaen" w:hAnsi="Sylfaen"/>
          <w:sz w:val="28"/>
          <w:szCs w:val="28"/>
        </w:rPr>
        <w:t>Are you praying?</w:t>
      </w:r>
      <w:r>
        <w:rPr>
          <w:rFonts w:ascii="Sylfaen" w:hAnsi="Sylfaen"/>
          <w:sz w:val="28"/>
          <w:szCs w:val="28"/>
        </w:rPr>
        <w:t>”</w:t>
      </w:r>
      <w:r w:rsidRPr="007A7DB6">
        <w:rPr>
          <w:rFonts w:ascii="Sylfaen" w:hAnsi="Sylfaen"/>
          <w:sz w:val="28"/>
          <w:szCs w:val="28"/>
        </w:rPr>
        <w:t xml:space="preserve"> I answered, </w:t>
      </w:r>
      <w:r>
        <w:rPr>
          <w:rFonts w:ascii="Sylfaen" w:hAnsi="Sylfaen"/>
          <w:sz w:val="28"/>
          <w:szCs w:val="28"/>
        </w:rPr>
        <w:t>“</w:t>
      </w:r>
      <w:r w:rsidRPr="007A7DB6">
        <w:rPr>
          <w:rFonts w:ascii="Sylfaen" w:hAnsi="Sylfaen"/>
          <w:sz w:val="28"/>
          <w:szCs w:val="28"/>
        </w:rPr>
        <w:t>No.</w:t>
      </w:r>
      <w:r>
        <w:rPr>
          <w:rFonts w:ascii="Sylfaen" w:hAnsi="Sylfaen"/>
          <w:sz w:val="28"/>
          <w:szCs w:val="28"/>
        </w:rPr>
        <w:t>”</w:t>
      </w:r>
      <w:r w:rsidRPr="007A7DB6">
        <w:rPr>
          <w:rFonts w:ascii="Sylfaen" w:hAnsi="Sylfaen"/>
          <w:sz w:val="28"/>
          <w:szCs w:val="28"/>
        </w:rPr>
        <w:t xml:space="preserve"> He said, </w:t>
      </w:r>
      <w:r>
        <w:rPr>
          <w:rFonts w:ascii="Sylfaen" w:hAnsi="Sylfaen"/>
          <w:sz w:val="28"/>
          <w:szCs w:val="28"/>
        </w:rPr>
        <w:t>“</w:t>
      </w:r>
      <w:r w:rsidRPr="007A7DB6">
        <w:rPr>
          <w:rFonts w:ascii="Sylfaen" w:hAnsi="Sylfaen"/>
          <w:sz w:val="28"/>
          <w:szCs w:val="28"/>
        </w:rPr>
        <w:t>Pray; and pray for me too, please.</w:t>
      </w:r>
      <w:r>
        <w:rPr>
          <w:rFonts w:ascii="Sylfaen" w:hAnsi="Sylfaen"/>
          <w:sz w:val="28"/>
          <w:szCs w:val="28"/>
        </w:rPr>
        <w:t>”</w:t>
      </w:r>
      <w:r w:rsidRPr="007A7DB6">
        <w:rPr>
          <w:rFonts w:ascii="Sylfaen" w:hAnsi="Sylfaen"/>
          <w:sz w:val="28"/>
          <w:szCs w:val="28"/>
        </w:rPr>
        <w:t xml:space="preserve"> Then, an existential question haunted me</w:t>
      </w:r>
      <w:r>
        <w:rPr>
          <w:rFonts w:ascii="Sylfaen" w:hAnsi="Sylfaen"/>
          <w:sz w:val="28"/>
          <w:szCs w:val="28"/>
        </w:rPr>
        <w:t xml:space="preserve">: </w:t>
      </w:r>
      <w:r w:rsidRPr="007A7DB6">
        <w:rPr>
          <w:rFonts w:ascii="Sylfaen" w:hAnsi="Sylfaen"/>
          <w:sz w:val="28"/>
          <w:szCs w:val="28"/>
        </w:rPr>
        <w:t xml:space="preserve">Do we pray every morning and evening or we fulfill a duty of going to the cathedral? Since then I can concentrate on </w:t>
      </w:r>
      <w:r w:rsidRPr="007A7DB6">
        <w:rPr>
          <w:rFonts w:ascii="Sylfaen" w:hAnsi="Sylfaen"/>
          <w:sz w:val="28"/>
          <w:szCs w:val="28"/>
        </w:rPr>
        <w:lastRenderedPageBreak/>
        <w:t xml:space="preserve">this icon and pray in full comfort. This incident reminded me of an email I received same day, saying, </w:t>
      </w:r>
      <w:r>
        <w:rPr>
          <w:rFonts w:ascii="Sylfaen" w:hAnsi="Sylfaen"/>
          <w:sz w:val="28"/>
          <w:szCs w:val="28"/>
        </w:rPr>
        <w:t>“</w:t>
      </w:r>
      <w:r w:rsidRPr="007A7DB6">
        <w:rPr>
          <w:rFonts w:ascii="Sylfaen" w:hAnsi="Sylfaen"/>
          <w:sz w:val="28"/>
          <w:szCs w:val="28"/>
        </w:rPr>
        <w:t>Going to church doesn</w:t>
      </w:r>
      <w:r>
        <w:rPr>
          <w:rFonts w:ascii="Sylfaen" w:hAnsi="Sylfaen"/>
          <w:sz w:val="28"/>
          <w:szCs w:val="28"/>
        </w:rPr>
        <w:t>’</w:t>
      </w:r>
      <w:r w:rsidRPr="007A7DB6">
        <w:rPr>
          <w:rFonts w:ascii="Sylfaen" w:hAnsi="Sylfaen"/>
          <w:sz w:val="28"/>
          <w:szCs w:val="28"/>
        </w:rPr>
        <w:t>t make you a Christian any more than going to McDonald</w:t>
      </w:r>
      <w:r>
        <w:rPr>
          <w:rFonts w:ascii="Sylfaen" w:hAnsi="Sylfaen"/>
          <w:sz w:val="28"/>
          <w:szCs w:val="28"/>
        </w:rPr>
        <w:t>’</w:t>
      </w:r>
      <w:r w:rsidRPr="007A7DB6">
        <w:rPr>
          <w:rFonts w:ascii="Sylfaen" w:hAnsi="Sylfaen"/>
          <w:sz w:val="28"/>
          <w:szCs w:val="28"/>
        </w:rPr>
        <w:t>s makes you a hamburger.</w:t>
      </w:r>
      <w:r>
        <w:rPr>
          <w:rFonts w:ascii="Sylfaen" w:hAnsi="Sylfaen"/>
          <w:sz w:val="28"/>
          <w:szCs w:val="28"/>
        </w:rPr>
        <w:t>”</w:t>
      </w:r>
    </w:p>
    <w:p w14:paraId="24DCBCAB" w14:textId="77777777" w:rsidR="00CC3E1E" w:rsidRPr="007A7DB6" w:rsidRDefault="00CC3E1E" w:rsidP="00CC3E1E">
      <w:pPr>
        <w:pStyle w:val="BodyText"/>
        <w:spacing w:after="0"/>
        <w:ind w:left="360"/>
        <w:jc w:val="both"/>
        <w:rPr>
          <w:rFonts w:ascii="Sylfaen" w:hAnsi="Sylfaen"/>
          <w:sz w:val="28"/>
          <w:szCs w:val="28"/>
        </w:rPr>
      </w:pPr>
    </w:p>
    <w:p w14:paraId="433EA0F2" w14:textId="77777777" w:rsidR="00CC3E1E" w:rsidRDefault="00CC3E1E" w:rsidP="00CC3E1E">
      <w:pPr>
        <w:pStyle w:val="BodyText"/>
        <w:numPr>
          <w:ilvl w:val="0"/>
          <w:numId w:val="2"/>
        </w:numPr>
        <w:spacing w:after="0"/>
        <w:jc w:val="both"/>
        <w:rPr>
          <w:rFonts w:ascii="Sylfaen" w:hAnsi="Sylfaen"/>
          <w:sz w:val="28"/>
          <w:szCs w:val="28"/>
        </w:rPr>
      </w:pPr>
      <w:r w:rsidRPr="007A7DB6">
        <w:rPr>
          <w:rFonts w:ascii="Sylfaen" w:hAnsi="Sylfaen"/>
          <w:sz w:val="28"/>
          <w:szCs w:val="28"/>
        </w:rPr>
        <w:t>The Armenian history and culture are present and put us in dynamic interaction with our Christian faith and national identity through the paintings of Baptism of King Dertad III by St. Gregory the Illuminator (symbolizing the proclamation of Christianity as state religion in Armenia, in 301 AD), Groundbreaking of the Cathedral of Holy Ejmiadzin (symbolizing the official construction of the Christian prayer house in Armenia, in 301 AD), Invention of the Armenian Alphabet by monk St. Mesrob Mashdots</w:t>
      </w:r>
      <w:r>
        <w:rPr>
          <w:rFonts w:ascii="Sylfaen" w:hAnsi="Sylfaen"/>
          <w:sz w:val="28"/>
          <w:szCs w:val="28"/>
        </w:rPr>
        <w:t xml:space="preserve"> </w:t>
      </w:r>
      <w:r w:rsidRPr="007A7DB6">
        <w:rPr>
          <w:rFonts w:ascii="Sylfaen" w:hAnsi="Sylfaen"/>
          <w:sz w:val="28"/>
          <w:szCs w:val="28"/>
        </w:rPr>
        <w:t>(symbolizing the embodiment of</w:t>
      </w:r>
      <w:r>
        <w:rPr>
          <w:rFonts w:ascii="Sylfaen" w:hAnsi="Sylfaen"/>
          <w:sz w:val="28"/>
          <w:szCs w:val="28"/>
        </w:rPr>
        <w:t xml:space="preserve"> </w:t>
      </w:r>
      <w:r w:rsidRPr="007A7DB6">
        <w:rPr>
          <w:rFonts w:ascii="Sylfaen" w:hAnsi="Sylfaen"/>
          <w:sz w:val="28"/>
          <w:szCs w:val="28"/>
        </w:rPr>
        <w:t>the Christian faith and Armenian cultural values, since 406 AD) and Sts. Ghevontyantz and Sts. Vartanantz in the Battle of Avarayr (symbolizing the uprising of the Armenians against the Persians who wanted to deprive us from our faith and homeland, in 451 AD). The feasts of Sts. Ghevontyantz</w:t>
      </w:r>
      <w:r w:rsidRPr="007A7DB6">
        <w:rPr>
          <w:rFonts w:ascii="Sylfaen" w:hAnsi="Sylfaen"/>
          <w:b/>
          <w:sz w:val="28"/>
          <w:szCs w:val="28"/>
        </w:rPr>
        <w:t xml:space="preserve"> </w:t>
      </w:r>
      <w:r w:rsidRPr="007A7DB6">
        <w:rPr>
          <w:rFonts w:ascii="Sylfaen" w:hAnsi="Sylfaen"/>
          <w:sz w:val="28"/>
          <w:szCs w:val="28"/>
        </w:rPr>
        <w:t>and Sts. Vartanantz were celebrated with elaborate church services and cultural activities on February 29 and March 2. This inculturation is very dominant on all stages of the witness of the Armenian Church and collective life of the Armenian nation.</w:t>
      </w:r>
    </w:p>
    <w:p w14:paraId="54B13FED" w14:textId="77777777" w:rsidR="00CC3E1E" w:rsidRPr="00795D92" w:rsidRDefault="00CC3E1E" w:rsidP="00CC3E1E">
      <w:pPr>
        <w:pStyle w:val="BodyText"/>
        <w:spacing w:after="0"/>
        <w:jc w:val="both"/>
        <w:rPr>
          <w:rFonts w:ascii="Sylfaen" w:hAnsi="Sylfaen"/>
          <w:sz w:val="28"/>
          <w:szCs w:val="28"/>
        </w:rPr>
      </w:pPr>
    </w:p>
    <w:p w14:paraId="2EEE4309" w14:textId="77777777" w:rsidR="00CC3E1E" w:rsidRPr="007A7DB6" w:rsidRDefault="00CC3E1E" w:rsidP="00CC3E1E">
      <w:pPr>
        <w:pStyle w:val="BodyText"/>
        <w:spacing w:after="0"/>
        <w:rPr>
          <w:rFonts w:ascii="Sylfaen" w:hAnsi="Sylfaen"/>
          <w:sz w:val="28"/>
          <w:szCs w:val="28"/>
        </w:rPr>
      </w:pPr>
      <w:r w:rsidRPr="00795D92">
        <w:rPr>
          <w:rFonts w:ascii="Sylfaen" w:hAnsi="Sylfaen"/>
          <w:sz w:val="28"/>
          <w:szCs w:val="28"/>
        </w:rPr>
        <w:t>3. Ecumenical Context</w:t>
      </w:r>
    </w:p>
    <w:p w14:paraId="058E853E" w14:textId="77777777" w:rsidR="00CC3E1E" w:rsidRDefault="00CC3E1E" w:rsidP="00CC3E1E">
      <w:pPr>
        <w:pStyle w:val="BodyText"/>
        <w:numPr>
          <w:ilvl w:val="0"/>
          <w:numId w:val="4"/>
        </w:numPr>
        <w:spacing w:after="0"/>
        <w:jc w:val="both"/>
        <w:rPr>
          <w:rFonts w:ascii="Sylfaen" w:hAnsi="Sylfaen"/>
          <w:sz w:val="28"/>
          <w:szCs w:val="28"/>
        </w:rPr>
      </w:pPr>
      <w:r w:rsidRPr="007A7DB6">
        <w:rPr>
          <w:rFonts w:ascii="Sylfaen" w:hAnsi="Sylfaen"/>
          <w:sz w:val="28"/>
          <w:szCs w:val="28"/>
        </w:rPr>
        <w:t>March 6</w:t>
      </w:r>
      <w:r>
        <w:rPr>
          <w:rFonts w:ascii="Sylfaen" w:hAnsi="Sylfaen"/>
          <w:bCs/>
          <w:sz w:val="28"/>
          <w:szCs w:val="28"/>
        </w:rPr>
        <w:t>–</w:t>
      </w:r>
      <w:r w:rsidRPr="007A7DB6">
        <w:rPr>
          <w:rFonts w:ascii="Sylfaen" w:hAnsi="Sylfaen"/>
          <w:sz w:val="28"/>
          <w:szCs w:val="28"/>
        </w:rPr>
        <w:t>7 I participated in the meeting of the Special Commission on Orthodox Participation in the World Council of Churches. A Syrian Orthodox metropolitan led the first morning service and a Protestant minister the second morning service. Both of them tried to be sensitive to each other</w:t>
      </w:r>
      <w:r>
        <w:rPr>
          <w:rFonts w:ascii="Sylfaen" w:hAnsi="Sylfaen"/>
          <w:sz w:val="28"/>
          <w:szCs w:val="28"/>
        </w:rPr>
        <w:t>’</w:t>
      </w:r>
      <w:r w:rsidRPr="007A7DB6">
        <w:rPr>
          <w:rFonts w:ascii="Sylfaen" w:hAnsi="Sylfaen"/>
          <w:sz w:val="28"/>
          <w:szCs w:val="28"/>
        </w:rPr>
        <w:t>s tradition and we had a genuine prayer experience where Christ and culture came to full harmony.</w:t>
      </w:r>
    </w:p>
    <w:p w14:paraId="479A4E40" w14:textId="77777777" w:rsidR="00CC3E1E" w:rsidRPr="007A7DB6" w:rsidRDefault="00CC3E1E" w:rsidP="00CC3E1E">
      <w:pPr>
        <w:pStyle w:val="BodyText"/>
        <w:spacing w:after="0"/>
        <w:jc w:val="both"/>
        <w:rPr>
          <w:rFonts w:ascii="Sylfaen" w:hAnsi="Sylfaen"/>
          <w:sz w:val="28"/>
          <w:szCs w:val="28"/>
        </w:rPr>
      </w:pPr>
    </w:p>
    <w:p w14:paraId="05B8C5F8" w14:textId="77777777" w:rsidR="00CC3E1E" w:rsidRDefault="00CC3E1E" w:rsidP="00CC3E1E">
      <w:pPr>
        <w:pStyle w:val="Title"/>
        <w:numPr>
          <w:ilvl w:val="0"/>
          <w:numId w:val="3"/>
        </w:numPr>
        <w:spacing w:after="0"/>
        <w:contextualSpacing w:val="0"/>
        <w:jc w:val="both"/>
        <w:rPr>
          <w:rFonts w:ascii="Sylfaen" w:hAnsi="Sylfaen"/>
          <w:bCs/>
          <w:sz w:val="28"/>
          <w:szCs w:val="28"/>
        </w:rPr>
      </w:pPr>
      <w:r w:rsidRPr="00D645A1">
        <w:rPr>
          <w:rFonts w:ascii="Sylfaen" w:hAnsi="Sylfaen"/>
          <w:bCs/>
          <w:sz w:val="28"/>
          <w:szCs w:val="28"/>
        </w:rPr>
        <w:t xml:space="preserve">March 11–16 I participated in the meeting of the World Council of Churches Faith </w:t>
      </w:r>
      <w:r>
        <w:rPr>
          <w:rFonts w:ascii="Sylfaen" w:hAnsi="Sylfaen"/>
          <w:bCs/>
          <w:sz w:val="28"/>
          <w:szCs w:val="28"/>
        </w:rPr>
        <w:t>and</w:t>
      </w:r>
      <w:r w:rsidRPr="00D645A1">
        <w:rPr>
          <w:rFonts w:ascii="Sylfaen" w:hAnsi="Sylfaen"/>
          <w:bCs/>
          <w:sz w:val="28"/>
          <w:szCs w:val="28"/>
        </w:rPr>
        <w:t xml:space="preserve"> Order Consultation on Theological Anthropology. We were confessionally and geographically a diverse group of 15 lay and ordained people. A female minister led the worship (Can you imagine this in an Orthodox context?); a male layman read the Holy Bible passage in Finnish (This reminded me the boredom Armenian faithful surface in our worship conducted in Classical Armenian); an Orthodox priest joined us wearing his cassock while I was in a black suit wearing only my clerical collar (In </w:t>
      </w:r>
      <w:r w:rsidRPr="00D645A1">
        <w:rPr>
          <w:rFonts w:ascii="Sylfaen" w:hAnsi="Sylfaen"/>
          <w:bCs/>
          <w:sz w:val="28"/>
          <w:szCs w:val="28"/>
        </w:rPr>
        <w:lastRenderedPageBreak/>
        <w:t>my context this makes me a liberal but I was in America and it was an accepted code of vestment for our clergy).</w:t>
      </w:r>
    </w:p>
    <w:p w14:paraId="1C8F70F8" w14:textId="77777777" w:rsidR="00CC3E1E" w:rsidRPr="00D645A1" w:rsidRDefault="00CC3E1E" w:rsidP="00CC3E1E">
      <w:pPr>
        <w:pStyle w:val="Title"/>
        <w:ind w:left="360"/>
        <w:jc w:val="both"/>
        <w:rPr>
          <w:rFonts w:ascii="Sylfaen" w:hAnsi="Sylfaen"/>
          <w:bCs/>
          <w:sz w:val="28"/>
          <w:szCs w:val="28"/>
        </w:rPr>
      </w:pPr>
    </w:p>
    <w:p w14:paraId="45EDA493" w14:textId="77777777" w:rsidR="00CC3E1E" w:rsidRPr="00D645A1" w:rsidRDefault="00CC3E1E" w:rsidP="00CC3E1E">
      <w:pPr>
        <w:pStyle w:val="Title"/>
        <w:numPr>
          <w:ilvl w:val="0"/>
          <w:numId w:val="3"/>
        </w:numPr>
        <w:spacing w:after="0"/>
        <w:contextualSpacing w:val="0"/>
        <w:jc w:val="both"/>
        <w:rPr>
          <w:rFonts w:ascii="Sylfaen" w:hAnsi="Sylfaen"/>
          <w:bCs/>
          <w:sz w:val="28"/>
          <w:szCs w:val="28"/>
        </w:rPr>
      </w:pPr>
      <w:r w:rsidRPr="00D645A1">
        <w:rPr>
          <w:rFonts w:ascii="Sylfaen" w:hAnsi="Sylfaen"/>
          <w:bCs/>
          <w:sz w:val="28"/>
          <w:szCs w:val="28"/>
        </w:rPr>
        <w:t>Worshipping in the same chapel of the Pastoral Institute of the Catholic Archdiocese of Boston for six mornings, each day I paid a close attention to the stain glasses from various angles and I realized that eight stain glasses facing each other with the order mentioned below were adorning the chapel and becoming windows of meditative concentration and historical and cultural intercommunication (similar to my Armenian cathedral experience but with a profound Bible and culture emphasis)</w:t>
      </w:r>
      <w:r>
        <w:rPr>
          <w:rFonts w:ascii="Sylfaen" w:hAnsi="Sylfaen"/>
          <w:bCs/>
          <w:sz w:val="28"/>
          <w:szCs w:val="28"/>
        </w:rPr>
        <w:t>:</w:t>
      </w:r>
      <w:r w:rsidRPr="00D645A1">
        <w:rPr>
          <w:rFonts w:ascii="Sylfaen" w:hAnsi="Sylfaen"/>
          <w:bCs/>
          <w:sz w:val="28"/>
          <w:szCs w:val="28"/>
        </w:rPr>
        <w:t xml:space="preserve"> Christus Rex, with crown and rod</w:t>
      </w:r>
      <w:r>
        <w:rPr>
          <w:rFonts w:ascii="Sylfaen" w:hAnsi="Sylfaen"/>
          <w:bCs/>
          <w:sz w:val="28"/>
          <w:szCs w:val="28"/>
        </w:rPr>
        <w:t xml:space="preserve"> - </w:t>
      </w:r>
      <w:r w:rsidRPr="00D645A1">
        <w:rPr>
          <w:rFonts w:ascii="Sylfaen" w:hAnsi="Sylfaen"/>
          <w:bCs/>
          <w:sz w:val="28"/>
          <w:szCs w:val="28"/>
        </w:rPr>
        <w:t>Daniel, the adolescent prophet; Christus Victima, hands folded gently as an expression of submission and wearing a crown of torn -</w:t>
      </w:r>
      <w:r>
        <w:rPr>
          <w:rFonts w:ascii="Sylfaen" w:hAnsi="Sylfaen"/>
          <w:bCs/>
          <w:sz w:val="28"/>
          <w:szCs w:val="28"/>
        </w:rPr>
        <w:t xml:space="preserve"> </w:t>
      </w:r>
      <w:r w:rsidRPr="00D645A1">
        <w:rPr>
          <w:rFonts w:ascii="Sylfaen" w:hAnsi="Sylfaen"/>
          <w:bCs/>
          <w:sz w:val="28"/>
          <w:szCs w:val="28"/>
        </w:rPr>
        <w:t>Isaiah, the young prophet opening the parchment “Livore Eius Sanati Sumus”</w:t>
      </w:r>
      <w:r>
        <w:rPr>
          <w:rFonts w:ascii="Sylfaen" w:hAnsi="Sylfaen"/>
          <w:bCs/>
          <w:sz w:val="28"/>
          <w:szCs w:val="28"/>
        </w:rPr>
        <w:t xml:space="preserve"> </w:t>
      </w:r>
      <w:r w:rsidRPr="00D645A1">
        <w:rPr>
          <w:rFonts w:ascii="Sylfaen" w:hAnsi="Sylfaen"/>
          <w:bCs/>
          <w:sz w:val="28"/>
          <w:szCs w:val="28"/>
        </w:rPr>
        <w:t>{</w:t>
      </w:r>
      <w:r>
        <w:rPr>
          <w:rFonts w:ascii="Sylfaen" w:hAnsi="Sylfaen"/>
          <w:bCs/>
          <w:sz w:val="28"/>
          <w:szCs w:val="28"/>
        </w:rPr>
        <w:t>“</w:t>
      </w:r>
      <w:r w:rsidRPr="00D645A1">
        <w:rPr>
          <w:rFonts w:ascii="Sylfaen" w:hAnsi="Sylfaen"/>
          <w:bCs/>
          <w:sz w:val="28"/>
          <w:szCs w:val="28"/>
        </w:rPr>
        <w:t>By his bruises we are healed</w:t>
      </w:r>
      <w:r>
        <w:rPr>
          <w:rFonts w:ascii="Sylfaen" w:hAnsi="Sylfaen"/>
          <w:bCs/>
          <w:sz w:val="28"/>
          <w:szCs w:val="28"/>
        </w:rPr>
        <w:t>”</w:t>
      </w:r>
      <w:r w:rsidRPr="00D645A1">
        <w:rPr>
          <w:rFonts w:ascii="Sylfaen" w:hAnsi="Sylfaen"/>
          <w:bCs/>
          <w:sz w:val="28"/>
          <w:szCs w:val="28"/>
        </w:rPr>
        <w:t>}; Christus Propheta, declaring “Ego Vobiscum Sum” {</w:t>
      </w:r>
      <w:r>
        <w:rPr>
          <w:rFonts w:ascii="Sylfaen" w:hAnsi="Sylfaen"/>
          <w:bCs/>
          <w:sz w:val="28"/>
          <w:szCs w:val="28"/>
        </w:rPr>
        <w:t>“</w:t>
      </w:r>
      <w:r w:rsidRPr="00D645A1">
        <w:rPr>
          <w:rFonts w:ascii="Sylfaen" w:hAnsi="Sylfaen"/>
          <w:bCs/>
          <w:sz w:val="28"/>
          <w:szCs w:val="28"/>
        </w:rPr>
        <w:t>I am always with you</w:t>
      </w:r>
      <w:r>
        <w:rPr>
          <w:rFonts w:ascii="Sylfaen" w:hAnsi="Sylfaen"/>
          <w:bCs/>
          <w:sz w:val="28"/>
          <w:szCs w:val="28"/>
        </w:rPr>
        <w:t>”</w:t>
      </w:r>
      <w:r w:rsidRPr="00D645A1">
        <w:rPr>
          <w:rFonts w:ascii="Sylfaen" w:hAnsi="Sylfaen"/>
          <w:bCs/>
          <w:sz w:val="28"/>
          <w:szCs w:val="28"/>
        </w:rPr>
        <w:t>} -</w:t>
      </w:r>
      <w:r>
        <w:rPr>
          <w:rFonts w:ascii="Sylfaen" w:hAnsi="Sylfaen"/>
          <w:bCs/>
          <w:sz w:val="28"/>
          <w:szCs w:val="28"/>
        </w:rPr>
        <w:t xml:space="preserve"> </w:t>
      </w:r>
      <w:r w:rsidRPr="00D645A1">
        <w:rPr>
          <w:rFonts w:ascii="Sylfaen" w:hAnsi="Sylfaen"/>
          <w:bCs/>
          <w:sz w:val="28"/>
          <w:szCs w:val="28"/>
        </w:rPr>
        <w:t>Movses, the mature prophet presenting the Ten Commandments; Christus Sacerdos, consecrating the Holy Eucharist</w:t>
      </w:r>
      <w:r>
        <w:rPr>
          <w:rFonts w:ascii="Sylfaen" w:hAnsi="Sylfaen"/>
          <w:bCs/>
          <w:sz w:val="28"/>
          <w:szCs w:val="28"/>
        </w:rPr>
        <w:t xml:space="preserve"> </w:t>
      </w:r>
      <w:r w:rsidRPr="00D645A1">
        <w:rPr>
          <w:rFonts w:ascii="Sylfaen" w:hAnsi="Sylfaen"/>
          <w:bCs/>
          <w:sz w:val="28"/>
          <w:szCs w:val="28"/>
        </w:rPr>
        <w:t>-</w:t>
      </w:r>
      <w:r>
        <w:rPr>
          <w:rFonts w:ascii="Sylfaen" w:hAnsi="Sylfaen"/>
          <w:bCs/>
          <w:sz w:val="28"/>
          <w:szCs w:val="28"/>
        </w:rPr>
        <w:t xml:space="preserve"> </w:t>
      </w:r>
      <w:r w:rsidRPr="00D645A1">
        <w:rPr>
          <w:rFonts w:ascii="Sylfaen" w:hAnsi="Sylfaen"/>
          <w:bCs/>
          <w:sz w:val="28"/>
          <w:szCs w:val="28"/>
        </w:rPr>
        <w:t>Melchisedech, the old and everlasting priest holding the bread and a jar of wine of the Holy Eucharist.</w:t>
      </w:r>
    </w:p>
    <w:p w14:paraId="48CF6402" w14:textId="77777777" w:rsidR="00CC3E1E" w:rsidRPr="00D645A1" w:rsidRDefault="00CC3E1E" w:rsidP="00CC3E1E">
      <w:pPr>
        <w:pStyle w:val="Title"/>
        <w:jc w:val="both"/>
        <w:rPr>
          <w:rFonts w:ascii="Sylfaen" w:hAnsi="Sylfaen"/>
          <w:bCs/>
          <w:sz w:val="28"/>
          <w:szCs w:val="28"/>
        </w:rPr>
      </w:pPr>
    </w:p>
    <w:p w14:paraId="573C7AF0" w14:textId="77777777" w:rsidR="00CC3E1E" w:rsidRPr="00D645A1" w:rsidRDefault="00CC3E1E" w:rsidP="00CC3E1E">
      <w:pPr>
        <w:pStyle w:val="Title"/>
        <w:jc w:val="both"/>
        <w:rPr>
          <w:rFonts w:ascii="Sylfaen" w:hAnsi="Sylfaen"/>
          <w:bCs/>
          <w:sz w:val="28"/>
          <w:szCs w:val="28"/>
        </w:rPr>
      </w:pPr>
      <w:r w:rsidRPr="008D6E26">
        <w:rPr>
          <w:rFonts w:ascii="Sylfaen" w:hAnsi="Sylfaen"/>
          <w:bCs/>
          <w:sz w:val="28"/>
          <w:szCs w:val="28"/>
        </w:rPr>
        <w:t>4. Conclusion</w:t>
      </w:r>
    </w:p>
    <w:p w14:paraId="46453DB3" w14:textId="77777777" w:rsidR="00CC3E1E" w:rsidRPr="00D645A1" w:rsidRDefault="00CC3E1E" w:rsidP="00CC3E1E">
      <w:pPr>
        <w:pStyle w:val="Title"/>
        <w:numPr>
          <w:ilvl w:val="0"/>
          <w:numId w:val="3"/>
        </w:numPr>
        <w:spacing w:after="0"/>
        <w:contextualSpacing w:val="0"/>
        <w:jc w:val="both"/>
        <w:rPr>
          <w:rFonts w:ascii="Sylfaen" w:hAnsi="Sylfaen"/>
          <w:bCs/>
          <w:sz w:val="28"/>
          <w:szCs w:val="28"/>
        </w:rPr>
      </w:pPr>
      <w:r w:rsidRPr="00D645A1">
        <w:rPr>
          <w:rFonts w:ascii="Sylfaen" w:hAnsi="Sylfaen"/>
          <w:bCs/>
          <w:sz w:val="28"/>
          <w:szCs w:val="28"/>
        </w:rPr>
        <w:t>Ecumenical encounters are blessed possibilities of appreciating one</w:t>
      </w:r>
      <w:r>
        <w:rPr>
          <w:rFonts w:ascii="Sylfaen" w:hAnsi="Sylfaen"/>
          <w:bCs/>
          <w:sz w:val="28"/>
          <w:szCs w:val="28"/>
        </w:rPr>
        <w:t>’</w:t>
      </w:r>
      <w:r w:rsidRPr="00D645A1">
        <w:rPr>
          <w:rFonts w:ascii="Sylfaen" w:hAnsi="Sylfaen"/>
          <w:bCs/>
          <w:sz w:val="28"/>
          <w:szCs w:val="28"/>
        </w:rPr>
        <w:t>s own and the other</w:t>
      </w:r>
      <w:r>
        <w:rPr>
          <w:rFonts w:ascii="Sylfaen" w:hAnsi="Sylfaen"/>
          <w:bCs/>
          <w:sz w:val="28"/>
          <w:szCs w:val="28"/>
        </w:rPr>
        <w:t>’</w:t>
      </w:r>
      <w:r w:rsidRPr="00D645A1">
        <w:rPr>
          <w:rFonts w:ascii="Sylfaen" w:hAnsi="Sylfaen"/>
          <w:bCs/>
          <w:sz w:val="28"/>
          <w:szCs w:val="28"/>
        </w:rPr>
        <w:t>s church and culture, thus bringing the two contexts in dialogue and liberating them from their molds and stereotypes.</w:t>
      </w:r>
    </w:p>
    <w:p w14:paraId="695CE72C" w14:textId="77777777" w:rsidR="00CC3E1E" w:rsidRPr="00D645A1" w:rsidRDefault="00CC3E1E" w:rsidP="00CC3E1E">
      <w:pPr>
        <w:pStyle w:val="Title"/>
        <w:numPr>
          <w:ilvl w:val="0"/>
          <w:numId w:val="1"/>
        </w:numPr>
        <w:spacing w:after="0"/>
        <w:contextualSpacing w:val="0"/>
        <w:jc w:val="both"/>
        <w:rPr>
          <w:rFonts w:ascii="Sylfaen" w:hAnsi="Sylfaen"/>
          <w:bCs/>
          <w:sz w:val="28"/>
          <w:szCs w:val="28"/>
        </w:rPr>
      </w:pPr>
      <w:r w:rsidRPr="00D645A1">
        <w:rPr>
          <w:rFonts w:ascii="Sylfaen" w:hAnsi="Sylfaen"/>
          <w:bCs/>
          <w:sz w:val="28"/>
          <w:szCs w:val="28"/>
        </w:rPr>
        <w:t>When ecumenical worship services are more culture considerate</w:t>
      </w:r>
      <w:r>
        <w:rPr>
          <w:rFonts w:ascii="Sylfaen" w:hAnsi="Sylfaen"/>
          <w:bCs/>
          <w:sz w:val="28"/>
          <w:szCs w:val="28"/>
        </w:rPr>
        <w:t>,</w:t>
      </w:r>
      <w:r w:rsidRPr="00D645A1">
        <w:rPr>
          <w:rFonts w:ascii="Sylfaen" w:hAnsi="Sylfaen"/>
          <w:bCs/>
          <w:sz w:val="28"/>
          <w:szCs w:val="28"/>
        </w:rPr>
        <w:t xml:space="preserve"> they can create a safe and open space for prayer and praise, and transmit the generated mutual trust to the common witness and mission of the involved people and churches. </w:t>
      </w:r>
    </w:p>
    <w:p w14:paraId="2C1D7973" w14:textId="77777777" w:rsidR="00CC3E1E" w:rsidRPr="00D645A1" w:rsidRDefault="00CC3E1E" w:rsidP="00CC3E1E">
      <w:pPr>
        <w:pStyle w:val="Title"/>
        <w:numPr>
          <w:ilvl w:val="0"/>
          <w:numId w:val="1"/>
        </w:numPr>
        <w:spacing w:after="0"/>
        <w:contextualSpacing w:val="0"/>
        <w:jc w:val="both"/>
        <w:rPr>
          <w:rFonts w:ascii="Sylfaen" w:hAnsi="Sylfaen"/>
          <w:bCs/>
          <w:sz w:val="28"/>
          <w:szCs w:val="28"/>
        </w:rPr>
      </w:pPr>
      <w:r w:rsidRPr="00D645A1">
        <w:rPr>
          <w:rFonts w:ascii="Sylfaen" w:hAnsi="Sylfaen"/>
          <w:bCs/>
          <w:sz w:val="28"/>
          <w:szCs w:val="28"/>
        </w:rPr>
        <w:t>The solemn atmosphere and traditionally inherited and solidified order dominating the worship in the Armenian Church is transformed into joyful and free worship opportunity in the ecumenical circles.</w:t>
      </w:r>
    </w:p>
    <w:p w14:paraId="01C8EAED" w14:textId="77777777" w:rsidR="00CC3E1E" w:rsidRPr="00FE7478" w:rsidRDefault="00CC3E1E" w:rsidP="00CC3E1E">
      <w:pPr>
        <w:rPr>
          <w:rFonts w:ascii="Sylfaen" w:hAnsi="Sylfaen"/>
          <w:sz w:val="28"/>
          <w:szCs w:val="28"/>
        </w:rPr>
      </w:pPr>
    </w:p>
    <w:p w14:paraId="1A587678" w14:textId="77777777" w:rsidR="00CC3E1E" w:rsidRDefault="00CC3E1E" w:rsidP="00CC3E1E">
      <w:pPr>
        <w:rPr>
          <w:rFonts w:ascii="Sylfaen" w:hAnsi="Sylfaen"/>
          <w:sz w:val="28"/>
          <w:szCs w:val="28"/>
        </w:rPr>
      </w:pPr>
      <w:r w:rsidRPr="00FE7478">
        <w:rPr>
          <w:rFonts w:ascii="Sylfaen" w:hAnsi="Sylfaen"/>
          <w:sz w:val="28"/>
          <w:szCs w:val="28"/>
        </w:rPr>
        <w:t xml:space="preserve">Nareg Alemezian </w:t>
      </w:r>
    </w:p>
    <w:p w14:paraId="3D9CE94D" w14:textId="10EA2102" w:rsidR="007D7895" w:rsidRPr="00CC3E1E" w:rsidRDefault="00CC3E1E" w:rsidP="00CC3E1E">
      <w:pPr>
        <w:rPr>
          <w:rFonts w:ascii="Sylfaen" w:hAnsi="Sylfaen"/>
          <w:sz w:val="28"/>
          <w:szCs w:val="28"/>
        </w:rPr>
      </w:pPr>
      <w:r w:rsidRPr="00FE7478">
        <w:rPr>
          <w:rFonts w:ascii="Sylfaen" w:hAnsi="Sylfaen"/>
          <w:sz w:val="28"/>
          <w:szCs w:val="28"/>
        </w:rPr>
        <w:t>2000</w:t>
      </w:r>
    </w:p>
    <w:sectPr w:rsidR="007D7895" w:rsidRPr="00CC3E1E">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CB8C18" w14:textId="77777777" w:rsidR="0079358D" w:rsidRDefault="0079358D" w:rsidP="00CC3E1E">
      <w:r>
        <w:separator/>
      </w:r>
    </w:p>
  </w:endnote>
  <w:endnote w:type="continuationSeparator" w:id="0">
    <w:p w14:paraId="67EA8705" w14:textId="77777777" w:rsidR="0079358D" w:rsidRDefault="0079358D" w:rsidP="00CC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6277336"/>
      <w:docPartObj>
        <w:docPartGallery w:val="Page Numbers (Bottom of Page)"/>
        <w:docPartUnique/>
      </w:docPartObj>
    </w:sdtPr>
    <w:sdtContent>
      <w:p w14:paraId="543801CE" w14:textId="2DDDAD3B" w:rsidR="00CC3E1E" w:rsidRDefault="00CC3E1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385C40" w14:textId="77777777" w:rsidR="00CC3E1E" w:rsidRDefault="00CC3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0030372"/>
      <w:docPartObj>
        <w:docPartGallery w:val="Page Numbers (Bottom of Page)"/>
        <w:docPartUnique/>
      </w:docPartObj>
    </w:sdtPr>
    <w:sdtContent>
      <w:p w14:paraId="615525C4" w14:textId="11DCD0BA" w:rsidR="00CC3E1E" w:rsidRDefault="00CC3E1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7FB5E15" w14:textId="77777777" w:rsidR="00CC3E1E" w:rsidRDefault="00CC3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8AEE98" w14:textId="77777777" w:rsidR="0079358D" w:rsidRDefault="0079358D" w:rsidP="00CC3E1E">
      <w:r>
        <w:separator/>
      </w:r>
    </w:p>
  </w:footnote>
  <w:footnote w:type="continuationSeparator" w:id="0">
    <w:p w14:paraId="366FD1A0" w14:textId="77777777" w:rsidR="0079358D" w:rsidRDefault="0079358D" w:rsidP="00CC3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4D6F1D"/>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59E850F4"/>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BA53A5"/>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3AF458B"/>
    <w:multiLevelType w:val="singleLevel"/>
    <w:tmpl w:val="89F061FE"/>
    <w:lvl w:ilvl="0">
      <w:start w:val="1"/>
      <w:numFmt w:val="bullet"/>
      <w:lvlText w:val=""/>
      <w:lvlJc w:val="left"/>
      <w:pPr>
        <w:tabs>
          <w:tab w:val="num" w:pos="360"/>
        </w:tabs>
        <w:ind w:left="360" w:hanging="360"/>
      </w:pPr>
      <w:rPr>
        <w:rFonts w:ascii="Wingdings" w:hAnsi="Wingdings" w:hint="default"/>
      </w:rPr>
    </w:lvl>
  </w:abstractNum>
  <w:num w:numId="1" w16cid:durableId="93062092">
    <w:abstractNumId w:val="0"/>
  </w:num>
  <w:num w:numId="2" w16cid:durableId="1438678690">
    <w:abstractNumId w:val="3"/>
  </w:num>
  <w:num w:numId="3" w16cid:durableId="1856074977">
    <w:abstractNumId w:val="2"/>
  </w:num>
  <w:num w:numId="4" w16cid:durableId="8667152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1E"/>
    <w:rsid w:val="00157BF2"/>
    <w:rsid w:val="002B3C7E"/>
    <w:rsid w:val="003D7CBC"/>
    <w:rsid w:val="00580097"/>
    <w:rsid w:val="005824C9"/>
    <w:rsid w:val="0079358D"/>
    <w:rsid w:val="007D7895"/>
    <w:rsid w:val="00B41865"/>
    <w:rsid w:val="00CC3E1E"/>
    <w:rsid w:val="00CD1AE7"/>
    <w:rsid w:val="00D22B7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604E"/>
  <w15:chartTrackingRefBased/>
  <w15:docId w15:val="{2D7F8E38-FC20-7F42-9A27-9F392FEC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E1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C3E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E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E1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E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C3E1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C3E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3E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3E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3E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E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E1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E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C3E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C3E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3E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3E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3E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3E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E1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C3E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3E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3E1E"/>
    <w:rPr>
      <w:i/>
      <w:iCs/>
      <w:color w:val="404040" w:themeColor="text1" w:themeTint="BF"/>
    </w:rPr>
  </w:style>
  <w:style w:type="paragraph" w:styleId="ListParagraph">
    <w:name w:val="List Paragraph"/>
    <w:basedOn w:val="Normal"/>
    <w:uiPriority w:val="34"/>
    <w:qFormat/>
    <w:rsid w:val="00CC3E1E"/>
    <w:pPr>
      <w:ind w:left="720"/>
      <w:contextualSpacing/>
    </w:pPr>
  </w:style>
  <w:style w:type="character" w:styleId="IntenseEmphasis">
    <w:name w:val="Intense Emphasis"/>
    <w:basedOn w:val="DefaultParagraphFont"/>
    <w:uiPriority w:val="21"/>
    <w:qFormat/>
    <w:rsid w:val="00CC3E1E"/>
    <w:rPr>
      <w:i/>
      <w:iCs/>
      <w:color w:val="2F5496" w:themeColor="accent1" w:themeShade="BF"/>
    </w:rPr>
  </w:style>
  <w:style w:type="paragraph" w:styleId="IntenseQuote">
    <w:name w:val="Intense Quote"/>
    <w:basedOn w:val="Normal"/>
    <w:next w:val="Normal"/>
    <w:link w:val="IntenseQuoteChar"/>
    <w:uiPriority w:val="30"/>
    <w:qFormat/>
    <w:rsid w:val="00CC3E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E1E"/>
    <w:rPr>
      <w:i/>
      <w:iCs/>
      <w:color w:val="2F5496" w:themeColor="accent1" w:themeShade="BF"/>
    </w:rPr>
  </w:style>
  <w:style w:type="character" w:styleId="IntenseReference">
    <w:name w:val="Intense Reference"/>
    <w:basedOn w:val="DefaultParagraphFont"/>
    <w:uiPriority w:val="32"/>
    <w:qFormat/>
    <w:rsid w:val="00CC3E1E"/>
    <w:rPr>
      <w:b/>
      <w:bCs/>
      <w:smallCaps/>
      <w:color w:val="2F5496" w:themeColor="accent1" w:themeShade="BF"/>
      <w:spacing w:val="5"/>
    </w:rPr>
  </w:style>
  <w:style w:type="paragraph" w:styleId="BodyText">
    <w:name w:val="Body Text"/>
    <w:basedOn w:val="Normal"/>
    <w:link w:val="BodyTextChar"/>
    <w:uiPriority w:val="99"/>
    <w:unhideWhenUsed/>
    <w:rsid w:val="00CC3E1E"/>
    <w:pPr>
      <w:spacing w:after="120"/>
    </w:pPr>
  </w:style>
  <w:style w:type="character" w:customStyle="1" w:styleId="BodyTextChar">
    <w:name w:val="Body Text Char"/>
    <w:basedOn w:val="DefaultParagraphFont"/>
    <w:link w:val="BodyText"/>
    <w:uiPriority w:val="99"/>
    <w:rsid w:val="00CC3E1E"/>
    <w:rPr>
      <w:rFonts w:ascii="Times New Roman" w:eastAsia="Times New Roman" w:hAnsi="Times New Roman" w:cs="Times New Roman"/>
      <w:color w:val="auto"/>
    </w:rPr>
  </w:style>
  <w:style w:type="paragraph" w:styleId="Footer">
    <w:name w:val="footer"/>
    <w:basedOn w:val="Normal"/>
    <w:link w:val="FooterChar"/>
    <w:uiPriority w:val="99"/>
    <w:unhideWhenUsed/>
    <w:rsid w:val="00CC3E1E"/>
    <w:pPr>
      <w:tabs>
        <w:tab w:val="center" w:pos="4680"/>
        <w:tab w:val="right" w:pos="9360"/>
      </w:tabs>
    </w:pPr>
  </w:style>
  <w:style w:type="character" w:customStyle="1" w:styleId="FooterChar">
    <w:name w:val="Footer Char"/>
    <w:basedOn w:val="DefaultParagraphFont"/>
    <w:link w:val="Footer"/>
    <w:uiPriority w:val="99"/>
    <w:rsid w:val="00CC3E1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C3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2026-07-10T23:03:00Z</dcterms:created>
  <dcterms:modified xsi:type="dcterms:W3CDTF">2026-07-10T23:08:00Z</dcterms:modified>
</cp:coreProperties>
</file>