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34B45D" w14:textId="77777777" w:rsidR="000E351E" w:rsidRPr="00F66BE7" w:rsidRDefault="000E351E" w:rsidP="000E351E">
      <w:pPr>
        <w:jc w:val="center"/>
        <w:rPr>
          <w:rFonts w:ascii="Sylfaen" w:hAnsi="Sylfaen"/>
          <w:sz w:val="32"/>
          <w:szCs w:val="32"/>
        </w:rPr>
      </w:pPr>
      <w:r w:rsidRPr="00F66BE7">
        <w:rPr>
          <w:rFonts w:ascii="Sylfaen" w:hAnsi="Sylfaen"/>
          <w:sz w:val="32"/>
          <w:szCs w:val="32"/>
        </w:rPr>
        <w:t>CHRIST IS THE ROCK OF OUR SALVATION</w:t>
      </w:r>
    </w:p>
    <w:p w14:paraId="4602A607" w14:textId="77777777" w:rsidR="000E351E" w:rsidRPr="00F66BE7" w:rsidRDefault="000E351E" w:rsidP="000E351E">
      <w:pPr>
        <w:rPr>
          <w:rFonts w:ascii="Sylfaen" w:hAnsi="Sylfaen"/>
          <w:sz w:val="28"/>
          <w:szCs w:val="28"/>
        </w:rPr>
      </w:pPr>
    </w:p>
    <w:p w14:paraId="6EA825EB" w14:textId="77777777" w:rsidR="000E351E" w:rsidRPr="00F66BE7" w:rsidRDefault="000E351E" w:rsidP="000E351E">
      <w:pPr>
        <w:jc w:val="both"/>
        <w:rPr>
          <w:rFonts w:ascii="Sylfaen" w:hAnsi="Sylfaen"/>
          <w:b/>
          <w:bCs/>
          <w:sz w:val="28"/>
          <w:szCs w:val="28"/>
        </w:rPr>
      </w:pPr>
      <w:r w:rsidRPr="00F66BE7">
        <w:rPr>
          <w:rFonts w:ascii="Sylfaen" w:hAnsi="Sylfaen"/>
          <w:b/>
          <w:bCs/>
          <w:sz w:val="28"/>
          <w:szCs w:val="28"/>
        </w:rPr>
        <w:t>1. INTRODUCTION</w:t>
      </w:r>
    </w:p>
    <w:p w14:paraId="43C39E3C" w14:textId="01D46929" w:rsidR="000E351E" w:rsidRPr="00F66BE7" w:rsidRDefault="000E351E" w:rsidP="000E351E">
      <w:pPr>
        <w:jc w:val="both"/>
        <w:rPr>
          <w:rFonts w:ascii="Sylfaen" w:hAnsi="Sylfaen"/>
          <w:sz w:val="28"/>
          <w:szCs w:val="28"/>
        </w:rPr>
      </w:pPr>
      <w:r w:rsidRPr="00F66BE7">
        <w:rPr>
          <w:rFonts w:ascii="Sylfaen" w:hAnsi="Sylfaen"/>
          <w:sz w:val="28"/>
          <w:szCs w:val="28"/>
        </w:rPr>
        <w:t xml:space="preserve">Christ is the rock of our salvation! This confirmation is anchored on the assertion made by Paul the </w:t>
      </w:r>
      <w:r w:rsidRPr="00F66BE7">
        <w:rPr>
          <w:rFonts w:ascii="Sylfaen" w:hAnsi="Sylfaen"/>
          <w:b/>
          <w:bCs/>
          <w:sz w:val="28"/>
          <w:szCs w:val="28"/>
        </w:rPr>
        <w:t>Pharisee</w:t>
      </w:r>
      <w:r w:rsidRPr="00F66BE7">
        <w:rPr>
          <w:rFonts w:ascii="Sylfaen" w:hAnsi="Sylfaen"/>
          <w:sz w:val="28"/>
          <w:szCs w:val="28"/>
        </w:rPr>
        <w:t xml:space="preserve">, the </w:t>
      </w:r>
      <w:r w:rsidRPr="00F66BE7">
        <w:rPr>
          <w:rFonts w:ascii="Sylfaen" w:hAnsi="Sylfaen"/>
          <w:b/>
          <w:bCs/>
          <w:sz w:val="28"/>
          <w:szCs w:val="28"/>
        </w:rPr>
        <w:t>Convert</w:t>
      </w:r>
      <w:r w:rsidRPr="00F66BE7">
        <w:rPr>
          <w:rFonts w:ascii="Sylfaen" w:hAnsi="Sylfaen"/>
          <w:sz w:val="28"/>
          <w:szCs w:val="28"/>
        </w:rPr>
        <w:t xml:space="preserve"> and the </w:t>
      </w:r>
      <w:r w:rsidRPr="00F66BE7">
        <w:rPr>
          <w:rFonts w:ascii="Sylfaen" w:hAnsi="Sylfaen"/>
          <w:b/>
          <w:bCs/>
          <w:sz w:val="28"/>
          <w:szCs w:val="28"/>
        </w:rPr>
        <w:t>Apostle</w:t>
      </w:r>
      <w:r w:rsidRPr="00F66BE7">
        <w:rPr>
          <w:rFonts w:ascii="Sylfaen" w:hAnsi="Sylfaen"/>
          <w:sz w:val="28"/>
          <w:szCs w:val="28"/>
        </w:rPr>
        <w:t xml:space="preserve">, who has written to the Christians in Corinth: </w:t>
      </w:r>
      <w:r w:rsidRPr="00F66BE7">
        <w:rPr>
          <w:rFonts w:ascii="Sylfaen" w:hAnsi="Sylfaen"/>
          <w:i/>
          <w:iCs/>
          <w:sz w:val="28"/>
          <w:szCs w:val="28"/>
        </w:rPr>
        <w:t xml:space="preserve">“I do not want you to be unaware, brothers, that our ancestors were all under the cloud and all passed through the sea, and all of them were baptized into Moses in the cloud and in the sea. All ate the same spiritual food, and all drank the same spiritual drink, for they drank from a spiritual rock that followed them, and the rock was the Christ” </w:t>
      </w:r>
      <w:r w:rsidRPr="00F66BE7">
        <w:rPr>
          <w:rFonts w:ascii="Sylfaen" w:hAnsi="Sylfaen"/>
          <w:sz w:val="28"/>
          <w:szCs w:val="28"/>
        </w:rPr>
        <w:t>(1 Cor 10:1–4, NAB).</w:t>
      </w:r>
      <w:r w:rsidR="005B0B11">
        <w:rPr>
          <w:rStyle w:val="FootnoteReference"/>
          <w:rFonts w:ascii="Sylfaen" w:hAnsi="Sylfaen"/>
          <w:sz w:val="28"/>
          <w:szCs w:val="28"/>
        </w:rPr>
        <w:footnoteReference w:id="1"/>
      </w:r>
    </w:p>
    <w:p w14:paraId="429A32FF" w14:textId="77777777" w:rsidR="000E351E" w:rsidRPr="00F66BE7" w:rsidRDefault="000E351E" w:rsidP="000E351E">
      <w:pPr>
        <w:jc w:val="both"/>
        <w:rPr>
          <w:rFonts w:ascii="Sylfaen" w:hAnsi="Sylfaen"/>
          <w:sz w:val="28"/>
          <w:szCs w:val="28"/>
        </w:rPr>
      </w:pPr>
    </w:p>
    <w:p w14:paraId="30A33A41" w14:textId="4F0FB8E4" w:rsidR="000E351E" w:rsidRPr="00F66BE7" w:rsidRDefault="000E351E" w:rsidP="000E351E">
      <w:pPr>
        <w:jc w:val="both"/>
        <w:rPr>
          <w:rFonts w:ascii="Sylfaen" w:hAnsi="Sylfaen"/>
          <w:sz w:val="28"/>
          <w:szCs w:val="28"/>
        </w:rPr>
      </w:pPr>
      <w:r w:rsidRPr="00F66BE7">
        <w:rPr>
          <w:rFonts w:ascii="Sylfaen" w:hAnsi="Sylfaen"/>
          <w:sz w:val="28"/>
          <w:szCs w:val="28"/>
        </w:rPr>
        <w:t>E. P. Sanders concern</w:t>
      </w:r>
      <w:r w:rsidR="00821B58">
        <w:rPr>
          <w:rStyle w:val="FootnoteReference"/>
          <w:rFonts w:ascii="Sylfaen" w:hAnsi="Sylfaen"/>
          <w:sz w:val="28"/>
          <w:szCs w:val="28"/>
        </w:rPr>
        <w:footnoteReference w:id="2"/>
      </w:r>
      <w:r w:rsidRPr="00F66BE7">
        <w:rPr>
          <w:rFonts w:ascii="Sylfaen" w:hAnsi="Sylfaen"/>
        </w:rPr>
        <w:t xml:space="preserve"> </w:t>
      </w:r>
      <w:r w:rsidRPr="00F66BE7">
        <w:rPr>
          <w:rFonts w:ascii="Sylfaen" w:hAnsi="Sylfaen"/>
          <w:sz w:val="28"/>
          <w:szCs w:val="28"/>
        </w:rPr>
        <w:t>is answered through the sharing of the desert experience of the Israelites paralleled with the baptismal and eucharistic sacramental experiences of the Christians. Paul’s genius is manifested in the inter-relatedness of these two cases in the central and solid soteriological presence of Christ. Meanwhile, Daniel Boyarin discerns in Paul the transcendence of his Jewishness in his spiritual and universalistic claim in Christ.</w:t>
      </w:r>
      <w:r w:rsidR="00821B58">
        <w:rPr>
          <w:rStyle w:val="FootnoteReference"/>
          <w:rFonts w:ascii="Sylfaen" w:hAnsi="Sylfaen"/>
          <w:sz w:val="28"/>
          <w:szCs w:val="28"/>
        </w:rPr>
        <w:footnoteReference w:id="3"/>
      </w:r>
    </w:p>
    <w:p w14:paraId="00FE8C62" w14:textId="77777777" w:rsidR="000E351E" w:rsidRPr="00F66BE7" w:rsidRDefault="000E351E" w:rsidP="000E351E">
      <w:pPr>
        <w:pStyle w:val="BodyText"/>
        <w:spacing w:after="0"/>
        <w:jc w:val="both"/>
        <w:rPr>
          <w:rFonts w:ascii="Sylfaen" w:hAnsi="Sylfaen"/>
          <w:sz w:val="28"/>
          <w:szCs w:val="28"/>
        </w:rPr>
      </w:pPr>
    </w:p>
    <w:p w14:paraId="405C4AFE" w14:textId="16E39710" w:rsidR="000E351E" w:rsidRPr="00F66BE7" w:rsidRDefault="000E351E" w:rsidP="000E351E">
      <w:pPr>
        <w:pStyle w:val="BodyText"/>
        <w:spacing w:after="0"/>
        <w:jc w:val="both"/>
        <w:rPr>
          <w:rFonts w:ascii="Sylfaen" w:hAnsi="Sylfaen"/>
          <w:sz w:val="28"/>
          <w:szCs w:val="28"/>
        </w:rPr>
      </w:pPr>
      <w:r w:rsidRPr="00F66BE7">
        <w:rPr>
          <w:rFonts w:ascii="Sylfaen" w:hAnsi="Sylfaen"/>
          <w:sz w:val="28"/>
          <w:szCs w:val="28"/>
        </w:rPr>
        <w:t xml:space="preserve">I Corinthians 10:1–4 reflect the endorsement I had made in an email at the beginning of this course, while the class was reflecting on the first assignment on the Pauline Letters to the Corinthians. I quote: “The heart of Paul’s teaching is ‘that the one God of the world was the God of Israel, and also that God sent Christ to save all people, without regard to whether or not they were Jewish’ (Sanders, </w:t>
      </w:r>
      <w:r w:rsidRPr="00F66BE7">
        <w:rPr>
          <w:rFonts w:ascii="Sylfaen" w:hAnsi="Sylfaen"/>
          <w:i/>
          <w:iCs/>
          <w:sz w:val="28"/>
          <w:szCs w:val="28"/>
        </w:rPr>
        <w:lastRenderedPageBreak/>
        <w:t>Paul</w:t>
      </w:r>
      <w:r w:rsidRPr="00F66BE7">
        <w:rPr>
          <w:rFonts w:ascii="Sylfaen" w:hAnsi="Sylfaen"/>
          <w:sz w:val="28"/>
          <w:szCs w:val="28"/>
        </w:rPr>
        <w:t xml:space="preserve">, back cover), which is also the central theme of this book in which the apostle was burned through by the fire of a missionary. Cousar refers to this indication of Sanders’ in his book, </w:t>
      </w:r>
      <w:r w:rsidRPr="00F66BE7">
        <w:rPr>
          <w:rFonts w:ascii="Sylfaen" w:hAnsi="Sylfaen"/>
          <w:i/>
          <w:iCs/>
          <w:sz w:val="28"/>
          <w:szCs w:val="28"/>
        </w:rPr>
        <w:t xml:space="preserve">The Letters of Paul, </w:t>
      </w:r>
      <w:r w:rsidRPr="00F66BE7">
        <w:rPr>
          <w:rFonts w:ascii="Sylfaen" w:hAnsi="Sylfaen"/>
          <w:sz w:val="28"/>
          <w:szCs w:val="28"/>
        </w:rPr>
        <w:t>by indicating: ‘Though Judaism was diverse in its views, it was unified, according to Sanders, in the belief that Israelites had a place in God’s plan because of the covenant God had unconditionally established with Israel’ (85).”</w:t>
      </w:r>
      <w:r w:rsidR="008F0FD7">
        <w:rPr>
          <w:rStyle w:val="FootnoteReference"/>
          <w:rFonts w:ascii="Sylfaen" w:hAnsi="Sylfaen"/>
          <w:sz w:val="28"/>
          <w:szCs w:val="28"/>
        </w:rPr>
        <w:footnoteReference w:id="4"/>
      </w:r>
    </w:p>
    <w:p w14:paraId="2FB5BF61" w14:textId="77777777" w:rsidR="000E351E" w:rsidRPr="00F66BE7" w:rsidRDefault="000E351E" w:rsidP="000E351E">
      <w:pPr>
        <w:pStyle w:val="BodyText"/>
        <w:spacing w:after="0"/>
        <w:jc w:val="both"/>
        <w:rPr>
          <w:rFonts w:ascii="Sylfaen" w:hAnsi="Sylfaen"/>
          <w:sz w:val="28"/>
          <w:szCs w:val="28"/>
        </w:rPr>
      </w:pPr>
    </w:p>
    <w:p w14:paraId="6A7BA7A7" w14:textId="65E36152" w:rsidR="000E351E" w:rsidRPr="00F66BE7" w:rsidRDefault="000E351E" w:rsidP="000E351E">
      <w:pPr>
        <w:pStyle w:val="BodyText"/>
        <w:spacing w:after="0"/>
        <w:jc w:val="both"/>
        <w:rPr>
          <w:rFonts w:ascii="Sylfaen" w:hAnsi="Sylfaen"/>
          <w:sz w:val="28"/>
          <w:szCs w:val="28"/>
        </w:rPr>
      </w:pPr>
      <w:r w:rsidRPr="00F66BE7">
        <w:rPr>
          <w:rFonts w:ascii="Sylfaen" w:hAnsi="Sylfaen"/>
          <w:sz w:val="28"/>
          <w:szCs w:val="28"/>
        </w:rPr>
        <w:t>This very reality resonates with a current orthodox trend in Christianity echoed by Thomas C. Oden and stated in his recent book developing the theme of the election of the Jews: “It may give me a kind of pleasure when one of my Jewish friends recognize in Christian orthodox teaching something in which they too believe, or some way in which they can confess with me faith in Christ without ceasing to be Jews. But it does not give me pleasure to think of them disavowing their own election as people of God or their distinctive Jewish destiny.”</w:t>
      </w:r>
      <w:r w:rsidR="000054F3">
        <w:rPr>
          <w:rStyle w:val="FootnoteReference"/>
          <w:rFonts w:ascii="Sylfaen" w:hAnsi="Sylfaen"/>
          <w:sz w:val="28"/>
          <w:szCs w:val="28"/>
        </w:rPr>
        <w:footnoteReference w:id="5"/>
      </w:r>
      <w:r w:rsidRPr="00F66BE7">
        <w:rPr>
          <w:rFonts w:ascii="Sylfaen" w:hAnsi="Sylfaen"/>
          <w:sz w:val="28"/>
          <w:szCs w:val="28"/>
        </w:rPr>
        <w:t xml:space="preserve"> On the other hand, the growing controversy against the still-unreleased movie by Mel Gibson, </w:t>
      </w:r>
      <w:r w:rsidRPr="00F66BE7">
        <w:rPr>
          <w:rFonts w:ascii="Sylfaen" w:hAnsi="Sylfaen"/>
          <w:i/>
          <w:iCs/>
          <w:sz w:val="28"/>
          <w:szCs w:val="28"/>
        </w:rPr>
        <w:t>The Passion</w:t>
      </w:r>
      <w:r w:rsidRPr="00F66BE7">
        <w:rPr>
          <w:rFonts w:ascii="Sylfaen" w:hAnsi="Sylfaen"/>
          <w:sz w:val="28"/>
          <w:szCs w:val="28"/>
        </w:rPr>
        <w:t xml:space="preserve"> (of Jesus), is a prejudicial pattern of religious intolerance.</w:t>
      </w:r>
      <w:r w:rsidR="004E1010">
        <w:rPr>
          <w:rStyle w:val="FootnoteReference"/>
          <w:rFonts w:ascii="Sylfaen" w:hAnsi="Sylfaen"/>
          <w:sz w:val="28"/>
          <w:szCs w:val="28"/>
        </w:rPr>
        <w:footnoteReference w:id="6"/>
      </w:r>
      <w:r w:rsidR="004E1010">
        <w:rPr>
          <w:rFonts w:ascii="Sylfaen" w:hAnsi="Sylfaen"/>
          <w:sz w:val="28"/>
          <w:szCs w:val="28"/>
        </w:rPr>
        <w:t xml:space="preserve"> </w:t>
      </w:r>
      <w:r w:rsidRPr="00F66BE7">
        <w:rPr>
          <w:rFonts w:ascii="Sylfaen" w:hAnsi="Sylfaen"/>
          <w:sz w:val="28"/>
          <w:szCs w:val="28"/>
        </w:rPr>
        <w:t>Another incident of religious fanaticism emerged in India has a multi-faith implications.</w:t>
      </w:r>
      <w:r w:rsidR="00E3525E">
        <w:rPr>
          <w:rStyle w:val="FootnoteReference"/>
          <w:rFonts w:ascii="Sylfaen" w:hAnsi="Sylfaen"/>
          <w:sz w:val="28"/>
          <w:szCs w:val="28"/>
        </w:rPr>
        <w:footnoteReference w:id="7"/>
      </w:r>
    </w:p>
    <w:p w14:paraId="24DBB372" w14:textId="77777777" w:rsidR="000E351E" w:rsidRPr="00F66BE7" w:rsidRDefault="000E351E" w:rsidP="000E351E">
      <w:pPr>
        <w:pStyle w:val="Heading2"/>
        <w:keepNext w:val="0"/>
        <w:widowControl w:val="0"/>
        <w:spacing w:before="0"/>
        <w:jc w:val="both"/>
        <w:rPr>
          <w:rFonts w:ascii="Sylfaen" w:hAnsi="Sylfaen" w:cs="Times New Roman"/>
          <w:b/>
          <w:bCs/>
          <w:i/>
          <w:iCs/>
          <w:sz w:val="28"/>
          <w:szCs w:val="28"/>
        </w:rPr>
      </w:pPr>
    </w:p>
    <w:p w14:paraId="1B7FE6F8" w14:textId="1BDABE1E" w:rsidR="000E351E" w:rsidRPr="00F66BE7" w:rsidRDefault="000E351E" w:rsidP="000E351E">
      <w:pPr>
        <w:pStyle w:val="Heading2"/>
        <w:keepNext w:val="0"/>
        <w:widowControl w:val="0"/>
        <w:spacing w:before="0"/>
        <w:jc w:val="both"/>
        <w:rPr>
          <w:rFonts w:ascii="Sylfaen" w:hAnsi="Sylfaen" w:cs="Times New Roman"/>
          <w:color w:val="000000" w:themeColor="text1"/>
          <w:sz w:val="28"/>
          <w:szCs w:val="28"/>
        </w:rPr>
      </w:pPr>
      <w:r w:rsidRPr="00F66BE7">
        <w:rPr>
          <w:rFonts w:ascii="Sylfaen" w:hAnsi="Sylfaen" w:cs="Times New Roman"/>
          <w:color w:val="000000" w:themeColor="text1"/>
          <w:sz w:val="28"/>
          <w:szCs w:val="28"/>
        </w:rPr>
        <w:lastRenderedPageBreak/>
        <w:t>Paul’s apostleship was realized through a type of conversion which became the fundamental detour of his calling. Segal describes this situation by the following words: “His conversion caused him to revalue his Judaism, in turn creating a new understanding of Jesus’ mission” (71); “The most obvious mark of Paul’s conversion is his revaluation of his previous life on the basis of his experience of Christ” (79).</w:t>
      </w:r>
      <w:r w:rsidR="00E32201">
        <w:rPr>
          <w:rStyle w:val="FootnoteReference"/>
          <w:rFonts w:ascii="Sylfaen" w:hAnsi="Sylfaen" w:cs="Times New Roman"/>
          <w:color w:val="000000" w:themeColor="text1"/>
          <w:sz w:val="28"/>
          <w:szCs w:val="28"/>
        </w:rPr>
        <w:footnoteReference w:id="8"/>
      </w:r>
    </w:p>
    <w:p w14:paraId="14CC87AC" w14:textId="77777777" w:rsidR="000E351E" w:rsidRPr="00F66BE7" w:rsidRDefault="000E351E" w:rsidP="000E351E">
      <w:pPr>
        <w:widowControl w:val="0"/>
        <w:jc w:val="both"/>
        <w:rPr>
          <w:rFonts w:ascii="Sylfaen" w:hAnsi="Sylfaen"/>
          <w:bCs/>
          <w:sz w:val="28"/>
          <w:szCs w:val="28"/>
        </w:rPr>
      </w:pPr>
    </w:p>
    <w:p w14:paraId="057D8138" w14:textId="77777777" w:rsidR="000E351E" w:rsidRPr="00F66BE7" w:rsidRDefault="000E351E" w:rsidP="000E351E">
      <w:pPr>
        <w:widowControl w:val="0"/>
        <w:jc w:val="both"/>
        <w:rPr>
          <w:rFonts w:ascii="Sylfaen" w:hAnsi="Sylfaen"/>
          <w:bCs/>
          <w:sz w:val="28"/>
          <w:szCs w:val="28"/>
        </w:rPr>
      </w:pPr>
      <w:r w:rsidRPr="00F66BE7">
        <w:rPr>
          <w:rFonts w:ascii="Sylfaen" w:hAnsi="Sylfaen"/>
          <w:bCs/>
          <w:sz w:val="28"/>
          <w:szCs w:val="28"/>
        </w:rPr>
        <w:t xml:space="preserve">In his Letters, on many occasions, Paul implicitly and explicitly declared that he is an apostle of Jesus Christ </w:t>
      </w:r>
      <w:r w:rsidRPr="00F66BE7">
        <w:rPr>
          <w:rFonts w:ascii="Sylfaen" w:hAnsi="Sylfaen"/>
          <w:sz w:val="28"/>
          <w:szCs w:val="28"/>
        </w:rPr>
        <w:t xml:space="preserve">(Rom 1:1, </w:t>
      </w:r>
      <w:r w:rsidRPr="00F66BE7">
        <w:rPr>
          <w:rFonts w:ascii="Sylfaen" w:hAnsi="Sylfaen"/>
          <w:iCs/>
          <w:sz w:val="28"/>
          <w:szCs w:val="28"/>
        </w:rPr>
        <w:t xml:space="preserve">16; </w:t>
      </w:r>
      <w:r w:rsidRPr="00F66BE7">
        <w:rPr>
          <w:rFonts w:ascii="Sylfaen" w:hAnsi="Sylfaen"/>
          <w:sz w:val="28"/>
          <w:szCs w:val="28"/>
        </w:rPr>
        <w:t xml:space="preserve">15:19–20; 1 Cor 1:17; 4.1; 9:12; 2 Cor 2:17; 6:4–5; 10:8; 10:14; 11:3-5; 12:12, 19; Gal 1:1), who proclaims the good news of Jesus Christ to all by carrying out the </w:t>
      </w:r>
      <w:r w:rsidRPr="00F66BE7">
        <w:rPr>
          <w:rFonts w:ascii="Sylfaen" w:hAnsi="Sylfaen"/>
          <w:i/>
          <w:sz w:val="28"/>
          <w:szCs w:val="28"/>
        </w:rPr>
        <w:t>Missio Dei</w:t>
      </w:r>
      <w:r w:rsidRPr="00F66BE7">
        <w:rPr>
          <w:rFonts w:ascii="Sylfaen" w:hAnsi="Sylfaen"/>
          <w:sz w:val="28"/>
          <w:szCs w:val="28"/>
        </w:rPr>
        <w:t xml:space="preserve"> for the edification of the believers. The genuineness of Paul’s apostleship is manifested also in the inclusiveness of his ministry.</w:t>
      </w:r>
    </w:p>
    <w:p w14:paraId="3AD2E982" w14:textId="77777777" w:rsidR="000E351E" w:rsidRPr="00F66BE7" w:rsidRDefault="000E351E" w:rsidP="000E351E">
      <w:pPr>
        <w:jc w:val="both"/>
        <w:rPr>
          <w:rFonts w:ascii="Sylfaen" w:hAnsi="Sylfaen"/>
          <w:iCs/>
          <w:sz w:val="28"/>
          <w:szCs w:val="28"/>
        </w:rPr>
      </w:pPr>
    </w:p>
    <w:p w14:paraId="4854E17D" w14:textId="77777777" w:rsidR="000E351E" w:rsidRPr="00F66BE7" w:rsidRDefault="000E351E" w:rsidP="000E351E">
      <w:pPr>
        <w:jc w:val="both"/>
        <w:rPr>
          <w:rFonts w:ascii="Sylfaen" w:hAnsi="Sylfaen"/>
          <w:iCs/>
          <w:sz w:val="28"/>
          <w:szCs w:val="28"/>
        </w:rPr>
      </w:pPr>
      <w:r w:rsidRPr="00F66BE7">
        <w:rPr>
          <w:rFonts w:ascii="Sylfaen" w:hAnsi="Sylfaen"/>
          <w:iCs/>
          <w:sz w:val="28"/>
          <w:szCs w:val="28"/>
        </w:rPr>
        <w:t>In my context, this Pauline interaction of the old covenant and new covenant is intertwined by and grounded on two important facts: (1)</w:t>
      </w:r>
      <w:r w:rsidRPr="00F66BE7">
        <w:rPr>
          <w:rFonts w:ascii="Sylfaen" w:hAnsi="Sylfaen"/>
          <w:sz w:val="28"/>
          <w:szCs w:val="28"/>
        </w:rPr>
        <w:t xml:space="preserve"> The belonging of the new believers to the New Israel but, at the same time, having the Old Testament Israelites </w:t>
      </w:r>
      <w:r w:rsidRPr="00F66BE7">
        <w:rPr>
          <w:rFonts w:ascii="Sylfaen" w:hAnsi="Sylfaen"/>
          <w:b/>
          <w:bCs/>
          <w:sz w:val="28"/>
          <w:szCs w:val="28"/>
        </w:rPr>
        <w:t>ancestors</w:t>
      </w:r>
      <w:r w:rsidRPr="00F66BE7">
        <w:rPr>
          <w:rFonts w:ascii="Sylfaen" w:hAnsi="Sylfaen"/>
          <w:sz w:val="28"/>
          <w:szCs w:val="28"/>
        </w:rPr>
        <w:t xml:space="preserve"> as their spiritual predecessors (2) and The great act of God’s deliverance of his people from the slavery in Egypt as the prototype of God’s act of deliverance of his believers from the bondage of sin through the death and resurrection of </w:t>
      </w:r>
      <w:r w:rsidRPr="00F66BE7">
        <w:rPr>
          <w:rFonts w:ascii="Sylfaen" w:hAnsi="Sylfaen"/>
          <w:b/>
          <w:bCs/>
          <w:sz w:val="28"/>
          <w:szCs w:val="28"/>
        </w:rPr>
        <w:t>Christ, the Rock</w:t>
      </w:r>
      <w:r w:rsidRPr="00F66BE7">
        <w:rPr>
          <w:rFonts w:ascii="Sylfaen" w:hAnsi="Sylfaen"/>
          <w:sz w:val="28"/>
          <w:szCs w:val="28"/>
        </w:rPr>
        <w:t>. The other themes of the 1 Corinthians 10:1–4 metaphor –being under the cloud, passing through the sea, being baptized, eating the same spiritual food and drinking the same spiritual drink– are complimented by the sacramental reality of baptism and eucharist.</w:t>
      </w:r>
    </w:p>
    <w:p w14:paraId="7B5B5A43" w14:textId="77777777" w:rsidR="000E351E" w:rsidRPr="00F66BE7" w:rsidRDefault="000E351E" w:rsidP="000E351E">
      <w:pPr>
        <w:jc w:val="both"/>
        <w:rPr>
          <w:rFonts w:ascii="Sylfaen" w:hAnsi="Sylfaen"/>
          <w:b/>
          <w:bCs/>
          <w:iCs/>
          <w:sz w:val="28"/>
          <w:szCs w:val="28"/>
        </w:rPr>
      </w:pPr>
    </w:p>
    <w:p w14:paraId="7AA2C515" w14:textId="77777777" w:rsidR="000E351E" w:rsidRPr="00F66BE7" w:rsidRDefault="000E351E" w:rsidP="000E351E">
      <w:pPr>
        <w:jc w:val="both"/>
        <w:rPr>
          <w:rFonts w:ascii="Sylfaen" w:hAnsi="Sylfaen"/>
          <w:b/>
          <w:bCs/>
          <w:iCs/>
          <w:sz w:val="28"/>
          <w:szCs w:val="28"/>
        </w:rPr>
      </w:pPr>
      <w:r w:rsidRPr="00F66BE7">
        <w:rPr>
          <w:rFonts w:ascii="Sylfaen" w:hAnsi="Sylfaen"/>
          <w:b/>
          <w:bCs/>
          <w:iCs/>
          <w:sz w:val="28"/>
          <w:szCs w:val="28"/>
        </w:rPr>
        <w:t>2. Paul’s Context: The Transcendence of Jewishness</w:t>
      </w:r>
    </w:p>
    <w:p w14:paraId="516FA380" w14:textId="77777777" w:rsidR="000E351E" w:rsidRPr="00F66BE7" w:rsidRDefault="000E351E" w:rsidP="000E351E">
      <w:pPr>
        <w:jc w:val="both"/>
        <w:rPr>
          <w:rFonts w:ascii="Sylfaen" w:hAnsi="Sylfaen"/>
          <w:sz w:val="28"/>
          <w:szCs w:val="28"/>
        </w:rPr>
      </w:pPr>
      <w:r w:rsidRPr="00F66BE7">
        <w:rPr>
          <w:rFonts w:ascii="Sylfaen" w:hAnsi="Sylfaen"/>
          <w:sz w:val="28"/>
          <w:szCs w:val="28"/>
        </w:rPr>
        <w:t xml:space="preserve">Paul’s context is summed up in the following juxtaposition “as examples [Greek </w:t>
      </w:r>
      <w:r w:rsidRPr="00F66BE7">
        <w:rPr>
          <w:rFonts w:ascii="Sylfaen" w:hAnsi="Sylfaen"/>
          <w:i/>
          <w:iCs/>
          <w:sz w:val="28"/>
          <w:szCs w:val="28"/>
        </w:rPr>
        <w:t>‘typoi’</w:t>
      </w:r>
      <w:r w:rsidRPr="00F66BE7">
        <w:rPr>
          <w:rFonts w:ascii="Sylfaen" w:hAnsi="Sylfaen"/>
          <w:sz w:val="28"/>
          <w:szCs w:val="28"/>
        </w:rPr>
        <w:t>] for us” (1 Cor 10:7, 11):</w:t>
      </w:r>
    </w:p>
    <w:p w14:paraId="42E03C7E" w14:textId="1E185013" w:rsidR="000E351E" w:rsidRPr="00F66BE7" w:rsidRDefault="000E351E" w:rsidP="000E351E">
      <w:pPr>
        <w:jc w:val="both"/>
        <w:rPr>
          <w:rFonts w:ascii="Sylfaen" w:hAnsi="Sylfaen"/>
          <w:sz w:val="28"/>
          <w:szCs w:val="28"/>
        </w:rPr>
      </w:pPr>
      <w:r w:rsidRPr="00F66BE7">
        <w:rPr>
          <w:rFonts w:ascii="Sylfaen" w:hAnsi="Sylfaen"/>
          <w:b/>
          <w:bCs/>
          <w:sz w:val="28"/>
          <w:szCs w:val="28"/>
        </w:rPr>
        <w:t>“Our ancestors” (Israel)</w:t>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r>
      <w:r w:rsidRPr="00F66BE7">
        <w:rPr>
          <w:rFonts w:ascii="Sylfaen" w:hAnsi="Sylfaen"/>
          <w:b/>
          <w:bCs/>
          <w:sz w:val="28"/>
          <w:szCs w:val="28"/>
        </w:rPr>
        <w:t>“Us” (The church of Christ)</w:t>
      </w:r>
    </w:p>
    <w:p w14:paraId="2F7D8331" w14:textId="77777777" w:rsidR="000E351E" w:rsidRPr="00F66BE7" w:rsidRDefault="000E351E" w:rsidP="000E351E">
      <w:pPr>
        <w:ind w:left="360"/>
        <w:jc w:val="both"/>
        <w:rPr>
          <w:rFonts w:ascii="Sylfaen" w:hAnsi="Sylfaen"/>
          <w:sz w:val="28"/>
          <w:szCs w:val="28"/>
        </w:rPr>
      </w:pPr>
    </w:p>
    <w:p w14:paraId="7D1ECB55" w14:textId="77777777" w:rsidR="000E351E" w:rsidRPr="00F66BE7" w:rsidRDefault="000E351E" w:rsidP="000E351E">
      <w:pPr>
        <w:jc w:val="both"/>
        <w:rPr>
          <w:rFonts w:ascii="Sylfaen" w:hAnsi="Sylfaen"/>
          <w:sz w:val="28"/>
          <w:szCs w:val="28"/>
        </w:rPr>
      </w:pPr>
      <w:r w:rsidRPr="00F66BE7">
        <w:rPr>
          <w:rFonts w:ascii="Sylfaen" w:hAnsi="Sylfaen"/>
          <w:sz w:val="28"/>
          <w:szCs w:val="28"/>
        </w:rPr>
        <w:t>The cloud (Ex 13:21)</w:t>
      </w:r>
    </w:p>
    <w:p w14:paraId="35640DB4" w14:textId="25C4A18D" w:rsidR="000E351E" w:rsidRPr="00F66BE7" w:rsidRDefault="000E351E" w:rsidP="00E32201">
      <w:pPr>
        <w:jc w:val="both"/>
        <w:rPr>
          <w:rFonts w:ascii="Sylfaen" w:hAnsi="Sylfaen"/>
          <w:sz w:val="28"/>
          <w:szCs w:val="28"/>
        </w:rPr>
      </w:pPr>
      <w:r w:rsidRPr="00F66BE7">
        <w:rPr>
          <w:rFonts w:ascii="Sylfaen" w:hAnsi="Sylfaen"/>
          <w:sz w:val="28"/>
          <w:szCs w:val="28"/>
        </w:rPr>
        <w:t>The sea (Ex 14:21–22)</w:t>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t>Baptism (1 Cor 10:2)</w:t>
      </w:r>
    </w:p>
    <w:p w14:paraId="5A6E8E1A" w14:textId="77777777" w:rsidR="000E351E" w:rsidRPr="00F66BE7" w:rsidRDefault="000E351E" w:rsidP="000E351E">
      <w:pPr>
        <w:jc w:val="both"/>
        <w:rPr>
          <w:rFonts w:ascii="Sylfaen" w:hAnsi="Sylfaen"/>
          <w:sz w:val="28"/>
          <w:szCs w:val="28"/>
        </w:rPr>
      </w:pPr>
      <w:r w:rsidRPr="00F66BE7">
        <w:rPr>
          <w:rFonts w:ascii="Sylfaen" w:hAnsi="Sylfaen"/>
          <w:sz w:val="28"/>
          <w:szCs w:val="28"/>
        </w:rPr>
        <w:lastRenderedPageBreak/>
        <w:t>The manna (Ex 16:4)</w:t>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t xml:space="preserve">  The eucharistic bread (1 Cor 10:16, 21)</w:t>
      </w:r>
    </w:p>
    <w:p w14:paraId="5E4E61DF" w14:textId="77777777" w:rsidR="000E351E" w:rsidRPr="00F66BE7" w:rsidRDefault="000E351E" w:rsidP="000E351E">
      <w:pPr>
        <w:jc w:val="both"/>
        <w:rPr>
          <w:rFonts w:ascii="Sylfaen" w:hAnsi="Sylfaen"/>
          <w:sz w:val="28"/>
          <w:szCs w:val="28"/>
        </w:rPr>
      </w:pPr>
      <w:r w:rsidRPr="00F66BE7">
        <w:rPr>
          <w:rFonts w:ascii="Sylfaen" w:hAnsi="Sylfaen"/>
          <w:sz w:val="28"/>
          <w:szCs w:val="28"/>
        </w:rPr>
        <w:t>The water from the rock</w:t>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t xml:space="preserve">  The eucharistic wine (1 Cor 10:16, 21)</w:t>
      </w:r>
    </w:p>
    <w:p w14:paraId="000D8D78" w14:textId="77777777" w:rsidR="000E351E" w:rsidRPr="00F66BE7" w:rsidRDefault="000E351E" w:rsidP="000E351E">
      <w:pPr>
        <w:jc w:val="both"/>
        <w:rPr>
          <w:rFonts w:ascii="Sylfaen" w:hAnsi="Sylfaen"/>
          <w:sz w:val="28"/>
          <w:szCs w:val="28"/>
        </w:rPr>
      </w:pPr>
      <w:r w:rsidRPr="00F66BE7">
        <w:rPr>
          <w:rFonts w:ascii="Sylfaen" w:hAnsi="Sylfaen"/>
          <w:sz w:val="28"/>
          <w:szCs w:val="28"/>
        </w:rPr>
        <w:t>(Ex 17:6; Num 20:7–13)</w:t>
      </w:r>
    </w:p>
    <w:p w14:paraId="22F8E5D3" w14:textId="77777777" w:rsidR="000E351E" w:rsidRPr="00F66BE7" w:rsidRDefault="000E351E" w:rsidP="000E351E">
      <w:pPr>
        <w:ind w:left="360"/>
        <w:jc w:val="both"/>
        <w:rPr>
          <w:rFonts w:ascii="Sylfaen" w:hAnsi="Sylfaen"/>
          <w:sz w:val="28"/>
          <w:szCs w:val="28"/>
        </w:rPr>
      </w:pPr>
    </w:p>
    <w:p w14:paraId="41959018" w14:textId="2EBD0D6D" w:rsidR="000E351E" w:rsidRPr="00F66BE7" w:rsidRDefault="000E351E" w:rsidP="000E351E">
      <w:pPr>
        <w:jc w:val="both"/>
        <w:rPr>
          <w:rFonts w:ascii="Sylfaen" w:hAnsi="Sylfaen"/>
          <w:sz w:val="28"/>
          <w:szCs w:val="28"/>
        </w:rPr>
      </w:pPr>
      <w:r w:rsidRPr="00F66BE7">
        <w:rPr>
          <w:rFonts w:ascii="Sylfaen" w:hAnsi="Sylfaen"/>
          <w:sz w:val="28"/>
          <w:szCs w:val="28"/>
        </w:rPr>
        <w:t>The rock (Ex 17:6)</w:t>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r>
      <w:r w:rsidR="00665171">
        <w:rPr>
          <w:rFonts w:ascii="Sylfaen" w:hAnsi="Sylfaen"/>
          <w:sz w:val="28"/>
          <w:szCs w:val="28"/>
        </w:rPr>
        <w:t xml:space="preserve">  </w:t>
      </w:r>
      <w:r w:rsidRPr="00F66BE7">
        <w:rPr>
          <w:rFonts w:ascii="Sylfaen" w:hAnsi="Sylfaen"/>
          <w:sz w:val="28"/>
          <w:szCs w:val="28"/>
        </w:rPr>
        <w:t>Christ (1 Cor 10:4)</w:t>
      </w:r>
    </w:p>
    <w:p w14:paraId="21C5B1ED" w14:textId="77777777" w:rsidR="000E351E" w:rsidRPr="00F66BE7" w:rsidRDefault="000E351E" w:rsidP="000E351E">
      <w:pPr>
        <w:ind w:left="360"/>
        <w:jc w:val="both"/>
        <w:rPr>
          <w:rFonts w:ascii="Sylfaen" w:hAnsi="Sylfaen"/>
          <w:sz w:val="28"/>
          <w:szCs w:val="28"/>
        </w:rPr>
      </w:pPr>
    </w:p>
    <w:p w14:paraId="42DD3EEF" w14:textId="77777777" w:rsidR="00665171" w:rsidRDefault="000E351E" w:rsidP="000E351E">
      <w:pPr>
        <w:jc w:val="both"/>
        <w:rPr>
          <w:rFonts w:ascii="Sylfaen" w:hAnsi="Sylfaen"/>
          <w:sz w:val="28"/>
          <w:szCs w:val="28"/>
        </w:rPr>
      </w:pPr>
      <w:r w:rsidRPr="00F66BE7">
        <w:rPr>
          <w:rFonts w:ascii="Sylfaen" w:hAnsi="Sylfaen"/>
          <w:sz w:val="28"/>
          <w:szCs w:val="28"/>
        </w:rPr>
        <w:t xml:space="preserve">The apostasy (Ex 32:1–6)  </w:t>
      </w:r>
      <w:r w:rsidR="00665171">
        <w:rPr>
          <w:rFonts w:ascii="Sylfaen" w:hAnsi="Sylfaen"/>
          <w:sz w:val="28"/>
          <w:szCs w:val="28"/>
        </w:rPr>
        <w:tab/>
      </w:r>
      <w:r w:rsidR="00665171">
        <w:rPr>
          <w:rFonts w:ascii="Sylfaen" w:hAnsi="Sylfaen"/>
          <w:sz w:val="28"/>
          <w:szCs w:val="28"/>
        </w:rPr>
        <w:tab/>
        <w:t xml:space="preserve">  </w:t>
      </w:r>
      <w:r w:rsidRPr="00F66BE7">
        <w:rPr>
          <w:rFonts w:ascii="Sylfaen" w:hAnsi="Sylfaen"/>
          <w:sz w:val="28"/>
          <w:szCs w:val="28"/>
        </w:rPr>
        <w:t xml:space="preserve">Worship feasts at pagan temples (1 Cor </w:t>
      </w:r>
    </w:p>
    <w:p w14:paraId="38479655" w14:textId="37345820" w:rsidR="000E351E" w:rsidRPr="00F66BE7" w:rsidRDefault="00665171" w:rsidP="00665171">
      <w:pPr>
        <w:ind w:left="3600" w:firstLine="720"/>
        <w:jc w:val="both"/>
        <w:rPr>
          <w:rFonts w:ascii="Sylfaen" w:hAnsi="Sylfaen"/>
          <w:sz w:val="28"/>
          <w:szCs w:val="28"/>
        </w:rPr>
      </w:pPr>
      <w:r>
        <w:rPr>
          <w:rFonts w:ascii="Sylfaen" w:hAnsi="Sylfaen"/>
          <w:sz w:val="28"/>
          <w:szCs w:val="28"/>
        </w:rPr>
        <w:t xml:space="preserve">  </w:t>
      </w:r>
      <w:r w:rsidR="000E351E" w:rsidRPr="00F66BE7">
        <w:rPr>
          <w:rFonts w:ascii="Sylfaen" w:hAnsi="Sylfaen"/>
          <w:sz w:val="28"/>
          <w:szCs w:val="28"/>
        </w:rPr>
        <w:t>10:20-21)”</w:t>
      </w:r>
      <w:r>
        <w:rPr>
          <w:rStyle w:val="FootnoteReference"/>
          <w:rFonts w:ascii="Sylfaen" w:hAnsi="Sylfaen"/>
          <w:sz w:val="28"/>
          <w:szCs w:val="28"/>
        </w:rPr>
        <w:footnoteReference w:id="9"/>
      </w:r>
    </w:p>
    <w:p w14:paraId="2D5F0E6D" w14:textId="77777777" w:rsidR="000E351E" w:rsidRPr="00F66BE7" w:rsidRDefault="000E351E" w:rsidP="000E351E">
      <w:pPr>
        <w:jc w:val="both"/>
        <w:rPr>
          <w:rFonts w:ascii="Sylfaen" w:hAnsi="Sylfaen"/>
          <w:sz w:val="28"/>
          <w:szCs w:val="28"/>
          <w:u w:val="single"/>
        </w:rPr>
      </w:pPr>
    </w:p>
    <w:p w14:paraId="32B93361" w14:textId="77777777" w:rsidR="000E351E" w:rsidRPr="00F66BE7" w:rsidRDefault="000E351E" w:rsidP="000E351E">
      <w:pPr>
        <w:jc w:val="both"/>
        <w:rPr>
          <w:rFonts w:ascii="Sylfaen" w:hAnsi="Sylfaen"/>
          <w:sz w:val="28"/>
          <w:szCs w:val="28"/>
        </w:rPr>
      </w:pPr>
      <w:r w:rsidRPr="00F66BE7">
        <w:rPr>
          <w:rFonts w:ascii="Sylfaen" w:hAnsi="Sylfaen"/>
          <w:sz w:val="28"/>
          <w:szCs w:val="28"/>
        </w:rPr>
        <w:t>The elaboration of the entire metaphor leads us to the following points:</w:t>
      </w:r>
    </w:p>
    <w:p w14:paraId="05F4EA88" w14:textId="3814C9B4" w:rsidR="000E351E" w:rsidRPr="00F66BE7" w:rsidRDefault="000E351E" w:rsidP="000E351E">
      <w:pPr>
        <w:numPr>
          <w:ilvl w:val="0"/>
          <w:numId w:val="3"/>
        </w:numPr>
        <w:tabs>
          <w:tab w:val="clear" w:pos="720"/>
          <w:tab w:val="num" w:pos="0"/>
          <w:tab w:val="left" w:pos="360"/>
        </w:tabs>
        <w:ind w:left="0" w:firstLine="0"/>
        <w:jc w:val="both"/>
        <w:rPr>
          <w:rFonts w:ascii="Sylfaen" w:hAnsi="Sylfaen"/>
          <w:sz w:val="28"/>
          <w:szCs w:val="28"/>
        </w:rPr>
      </w:pPr>
      <w:r w:rsidRPr="00F66BE7">
        <w:rPr>
          <w:rFonts w:ascii="Sylfaen" w:hAnsi="Sylfaen"/>
          <w:i/>
          <w:iCs/>
          <w:sz w:val="28"/>
          <w:szCs w:val="28"/>
        </w:rPr>
        <w:t xml:space="preserve">“Were all under the cloud.” </w:t>
      </w:r>
      <w:r w:rsidRPr="00F66BE7">
        <w:rPr>
          <w:rFonts w:ascii="Sylfaen" w:hAnsi="Sylfaen"/>
          <w:sz w:val="28"/>
          <w:szCs w:val="28"/>
        </w:rPr>
        <w:t>The pillar of cloud symbolizes the divine presence and the continuous protecting guidance and the glory of the Lord. It covers a large range of Old Testament and New Testament metaphoric powerful usages (Exod 13:21–22; 14:19; 16:10; 19:9; 24:16; 33:9–10; 34:5; 40:36; Num 9:17–23; 11:25; 12:5; Job 22:14; Neh 9:19; Ps 18:11; 78:14; Isa 4:5).</w:t>
      </w:r>
      <w:r w:rsidR="00364D38">
        <w:rPr>
          <w:rStyle w:val="FootnoteReference"/>
          <w:rFonts w:ascii="Sylfaen" w:hAnsi="Sylfaen"/>
          <w:sz w:val="28"/>
          <w:szCs w:val="28"/>
        </w:rPr>
        <w:footnoteReference w:id="10"/>
      </w:r>
      <w:r w:rsidRPr="00F66BE7">
        <w:rPr>
          <w:rFonts w:ascii="Sylfaen" w:hAnsi="Sylfaen"/>
        </w:rPr>
        <w:t xml:space="preserve"> </w:t>
      </w:r>
      <w:r w:rsidRPr="00F66BE7">
        <w:rPr>
          <w:rFonts w:ascii="Sylfaen" w:hAnsi="Sylfaen"/>
          <w:sz w:val="28"/>
          <w:szCs w:val="28"/>
        </w:rPr>
        <w:t xml:space="preserve">The original Exodus narrative refers also to the pillar of fire, which is missing in Paul; but there is the probability of the column of cloud and the column of fire being the same. </w:t>
      </w:r>
    </w:p>
    <w:p w14:paraId="1FD6122A" w14:textId="77777777" w:rsidR="000E351E" w:rsidRPr="00F66BE7" w:rsidRDefault="000E351E" w:rsidP="000E351E">
      <w:pPr>
        <w:jc w:val="both"/>
        <w:rPr>
          <w:rFonts w:ascii="Sylfaen" w:hAnsi="Sylfaen"/>
          <w:sz w:val="28"/>
          <w:szCs w:val="28"/>
        </w:rPr>
      </w:pPr>
    </w:p>
    <w:p w14:paraId="728395EB" w14:textId="77777777" w:rsidR="000E351E" w:rsidRPr="00F66BE7" w:rsidRDefault="000E351E" w:rsidP="000E351E">
      <w:pPr>
        <w:jc w:val="both"/>
        <w:rPr>
          <w:rFonts w:ascii="Sylfaen" w:hAnsi="Sylfaen"/>
          <w:sz w:val="28"/>
          <w:szCs w:val="28"/>
        </w:rPr>
      </w:pPr>
      <w:r w:rsidRPr="00F66BE7">
        <w:rPr>
          <w:rFonts w:ascii="Sylfaen" w:hAnsi="Sylfaen"/>
          <w:sz w:val="28"/>
          <w:szCs w:val="28"/>
        </w:rPr>
        <w:t>In the New Testament we have Christ “coming on” or “with clouds” (Matt 17:5; 24:30; 26:64; Mark 13:26; 14:62; Luke 21:27), and lifted up and returning “by clouds” (Acts 1:9, 11). The glory of the second coming is indicated in Rev 1:7 as “he is coming amid the clouds” and “we who are alive .... will be caught up together with them in the clouds to meet the Lord in the air. Thus we shall always be with the Lord” (1 Thes 4:17, NAB).</w:t>
      </w:r>
    </w:p>
    <w:p w14:paraId="3D1B4F35" w14:textId="77777777" w:rsidR="000E351E" w:rsidRPr="00F66BE7" w:rsidRDefault="000E351E" w:rsidP="000E351E">
      <w:pPr>
        <w:jc w:val="both"/>
        <w:rPr>
          <w:rFonts w:ascii="Sylfaen" w:hAnsi="Sylfaen"/>
          <w:sz w:val="28"/>
          <w:szCs w:val="28"/>
        </w:rPr>
      </w:pPr>
    </w:p>
    <w:p w14:paraId="5BBA813D" w14:textId="6118F15B" w:rsidR="000E351E" w:rsidRPr="00F66BE7" w:rsidRDefault="000E351E" w:rsidP="000E351E">
      <w:pPr>
        <w:numPr>
          <w:ilvl w:val="0"/>
          <w:numId w:val="3"/>
        </w:numPr>
        <w:tabs>
          <w:tab w:val="clear" w:pos="720"/>
          <w:tab w:val="num" w:pos="0"/>
          <w:tab w:val="left" w:pos="360"/>
        </w:tabs>
        <w:ind w:left="0" w:firstLine="0"/>
        <w:jc w:val="both"/>
        <w:rPr>
          <w:rFonts w:ascii="Sylfaen" w:hAnsi="Sylfaen"/>
          <w:sz w:val="28"/>
          <w:szCs w:val="28"/>
        </w:rPr>
      </w:pPr>
      <w:r w:rsidRPr="00F66BE7">
        <w:rPr>
          <w:rFonts w:ascii="Sylfaen" w:hAnsi="Sylfaen"/>
          <w:i/>
          <w:iCs/>
          <w:sz w:val="28"/>
          <w:szCs w:val="28"/>
        </w:rPr>
        <w:t>“Passed through the sea … were baptized.”</w:t>
      </w:r>
      <w:r w:rsidRPr="00F66BE7">
        <w:rPr>
          <w:rFonts w:ascii="Sylfaen" w:hAnsi="Sylfaen"/>
          <w:sz w:val="28"/>
          <w:szCs w:val="28"/>
        </w:rPr>
        <w:t xml:space="preserve"> Although there is a note of caution to not parallel marching “into the midst of the sea” (Exod 14:22, NAB) with baptism,</w:t>
      </w:r>
      <w:r w:rsidR="00C21B9E">
        <w:rPr>
          <w:rStyle w:val="FootnoteReference"/>
          <w:rFonts w:ascii="Sylfaen" w:hAnsi="Sylfaen"/>
          <w:sz w:val="28"/>
          <w:szCs w:val="28"/>
        </w:rPr>
        <w:footnoteReference w:id="11"/>
      </w:r>
      <w:r w:rsidRPr="00F66BE7">
        <w:rPr>
          <w:rFonts w:ascii="Sylfaen" w:hAnsi="Sylfaen"/>
        </w:rPr>
        <w:t xml:space="preserve"> </w:t>
      </w:r>
      <w:r w:rsidRPr="00F66BE7">
        <w:rPr>
          <w:rFonts w:ascii="Sylfaen" w:hAnsi="Sylfaen"/>
          <w:sz w:val="28"/>
          <w:szCs w:val="28"/>
        </w:rPr>
        <w:t xml:space="preserve">but still the idea of baptismal purification and renewal is very strong </w:t>
      </w:r>
      <w:r w:rsidRPr="00F66BE7">
        <w:rPr>
          <w:rFonts w:ascii="Sylfaen" w:hAnsi="Sylfaen"/>
          <w:sz w:val="28"/>
          <w:szCs w:val="28"/>
        </w:rPr>
        <w:lastRenderedPageBreak/>
        <w:t>in this image. It is a clear clue of bestowing salvation and the Holy Spirit on the ones who are being united with Christ and participating in his death and resurrection.</w:t>
      </w:r>
      <w:r w:rsidR="00FE6CC5">
        <w:rPr>
          <w:rStyle w:val="FootnoteReference"/>
          <w:rFonts w:ascii="Sylfaen" w:hAnsi="Sylfaen"/>
          <w:sz w:val="28"/>
          <w:szCs w:val="28"/>
        </w:rPr>
        <w:footnoteReference w:id="12"/>
      </w:r>
    </w:p>
    <w:p w14:paraId="1CFCEAF6" w14:textId="77777777" w:rsidR="000E351E" w:rsidRPr="00F66BE7" w:rsidRDefault="000E351E" w:rsidP="000E351E">
      <w:pPr>
        <w:tabs>
          <w:tab w:val="left" w:pos="360"/>
        </w:tabs>
        <w:jc w:val="both"/>
        <w:rPr>
          <w:rFonts w:ascii="Sylfaen" w:hAnsi="Sylfaen"/>
          <w:sz w:val="28"/>
          <w:szCs w:val="28"/>
        </w:rPr>
      </w:pPr>
    </w:p>
    <w:p w14:paraId="2DCEA520" w14:textId="73F566BF" w:rsidR="000E351E" w:rsidRPr="00F66BE7" w:rsidRDefault="000E351E" w:rsidP="000E351E">
      <w:pPr>
        <w:numPr>
          <w:ilvl w:val="0"/>
          <w:numId w:val="3"/>
        </w:numPr>
        <w:tabs>
          <w:tab w:val="clear" w:pos="720"/>
          <w:tab w:val="num" w:pos="360"/>
        </w:tabs>
        <w:ind w:left="0" w:firstLine="0"/>
        <w:jc w:val="both"/>
        <w:rPr>
          <w:rFonts w:ascii="Sylfaen" w:hAnsi="Sylfaen"/>
          <w:i/>
          <w:iCs/>
          <w:sz w:val="28"/>
          <w:szCs w:val="28"/>
        </w:rPr>
      </w:pPr>
      <w:r w:rsidRPr="00F66BE7">
        <w:rPr>
          <w:rFonts w:ascii="Sylfaen" w:hAnsi="Sylfaen"/>
          <w:i/>
          <w:iCs/>
          <w:sz w:val="28"/>
          <w:szCs w:val="28"/>
        </w:rPr>
        <w:t>“All ate the same spiritual food … all drank the same spiritual drink.”</w:t>
      </w:r>
      <w:r w:rsidRPr="00F66BE7">
        <w:rPr>
          <w:rFonts w:ascii="Sylfaen" w:hAnsi="Sylfaen"/>
        </w:rPr>
        <w:t xml:space="preserve"> </w:t>
      </w:r>
      <w:r w:rsidR="002473B2">
        <w:rPr>
          <w:rStyle w:val="FootnoteReference"/>
          <w:rFonts w:ascii="Sylfaen" w:hAnsi="Sylfaen"/>
        </w:rPr>
        <w:footnoteReference w:id="13"/>
      </w:r>
      <w:r w:rsidRPr="00F66BE7">
        <w:rPr>
          <w:rFonts w:ascii="Sylfaen" w:hAnsi="Sylfaen"/>
          <w:sz w:val="28"/>
          <w:szCs w:val="28"/>
        </w:rPr>
        <w:t xml:space="preserve"> Here food and drink refer to the flesh and blood of Jesus Christ offered to the faithful in the eucharistic celebration of the church,</w:t>
      </w:r>
      <w:r w:rsidR="00DA68BD">
        <w:rPr>
          <w:rStyle w:val="FootnoteReference"/>
          <w:rFonts w:ascii="Sylfaen" w:hAnsi="Sylfaen"/>
          <w:sz w:val="28"/>
          <w:szCs w:val="28"/>
        </w:rPr>
        <w:footnoteReference w:id="14"/>
      </w:r>
      <w:r w:rsidRPr="00F66BE7">
        <w:rPr>
          <w:rFonts w:ascii="Sylfaen" w:hAnsi="Sylfaen"/>
        </w:rPr>
        <w:t xml:space="preserve"> </w:t>
      </w:r>
      <w:r w:rsidRPr="00F66BE7">
        <w:rPr>
          <w:rFonts w:ascii="Sylfaen" w:hAnsi="Sylfaen"/>
          <w:sz w:val="28"/>
          <w:szCs w:val="28"/>
        </w:rPr>
        <w:t xml:space="preserve">having their parallels in the Old Testament manna as a gift from God (Exod 16:4, 35; Deut 8:3; Ps 78:25; Wis 16:20; Amos 8:11) and the New Testament daily bread (Matt 6:11) and living bread </w:t>
      </w:r>
      <w:r w:rsidRPr="00F66BE7">
        <w:rPr>
          <w:rFonts w:ascii="Sylfaen" w:hAnsi="Sylfaen"/>
          <w:sz w:val="28"/>
          <w:szCs w:val="28"/>
        </w:rPr>
        <w:lastRenderedPageBreak/>
        <w:t xml:space="preserve">(John 6:31–35, 49–51), because our lives depend upon the bread given from God who is up in heaven. </w:t>
      </w:r>
    </w:p>
    <w:p w14:paraId="6BA19A95" w14:textId="77777777" w:rsidR="000E351E" w:rsidRPr="00F66BE7" w:rsidRDefault="000E351E" w:rsidP="000E351E">
      <w:pPr>
        <w:jc w:val="both"/>
        <w:rPr>
          <w:rFonts w:ascii="Sylfaen" w:hAnsi="Sylfaen"/>
          <w:sz w:val="28"/>
          <w:szCs w:val="28"/>
        </w:rPr>
      </w:pPr>
    </w:p>
    <w:p w14:paraId="31B43DCA" w14:textId="77777777" w:rsidR="000E351E" w:rsidRPr="00F66BE7" w:rsidRDefault="000E351E" w:rsidP="000E351E">
      <w:pPr>
        <w:jc w:val="both"/>
        <w:rPr>
          <w:rFonts w:ascii="Sylfaen" w:hAnsi="Sylfaen"/>
          <w:sz w:val="28"/>
          <w:szCs w:val="28"/>
        </w:rPr>
      </w:pPr>
      <w:r w:rsidRPr="00F66BE7">
        <w:rPr>
          <w:rFonts w:ascii="Sylfaen" w:hAnsi="Sylfaen"/>
          <w:sz w:val="28"/>
          <w:szCs w:val="28"/>
        </w:rPr>
        <w:t>Although the reference to water will be elaborated in the next point, here we have to concentrate on the atoning power of the blood. The Old Testament concept of sacrificial blood is taken over in the New Testament as the symbol of reconciliation of the new covenant in Christ. In its turn, the sacrificial blood of Christ brings forgiveness and sanctification, establishes peace with God and becomes the foundation of a new fellowship with God. Thus, a transformation flows from the atoning death of Jesus into the life of the believers who accept this gift of redemption through their faith.</w:t>
      </w:r>
    </w:p>
    <w:p w14:paraId="6AB34B5E" w14:textId="77777777" w:rsidR="000E351E" w:rsidRPr="00F66BE7" w:rsidRDefault="000E351E" w:rsidP="000E351E">
      <w:pPr>
        <w:jc w:val="both"/>
        <w:rPr>
          <w:rFonts w:ascii="Sylfaen" w:hAnsi="Sylfaen"/>
          <w:sz w:val="28"/>
          <w:szCs w:val="28"/>
        </w:rPr>
      </w:pPr>
    </w:p>
    <w:p w14:paraId="7B5F3EF2" w14:textId="7F39417A" w:rsidR="000E351E" w:rsidRPr="00F66BE7" w:rsidRDefault="000E351E" w:rsidP="000E351E">
      <w:pPr>
        <w:numPr>
          <w:ilvl w:val="0"/>
          <w:numId w:val="4"/>
        </w:numPr>
        <w:tabs>
          <w:tab w:val="clear" w:pos="720"/>
          <w:tab w:val="num" w:pos="0"/>
          <w:tab w:val="left" w:pos="360"/>
        </w:tabs>
        <w:ind w:left="0" w:firstLine="0"/>
        <w:jc w:val="both"/>
        <w:rPr>
          <w:rFonts w:ascii="Sylfaen" w:hAnsi="Sylfaen"/>
          <w:i/>
          <w:iCs/>
          <w:sz w:val="28"/>
          <w:szCs w:val="28"/>
        </w:rPr>
      </w:pPr>
      <w:r w:rsidRPr="00F66BE7">
        <w:rPr>
          <w:rFonts w:ascii="Sylfaen" w:hAnsi="Sylfaen"/>
          <w:i/>
          <w:iCs/>
          <w:sz w:val="28"/>
          <w:szCs w:val="28"/>
        </w:rPr>
        <w:t xml:space="preserve">“They drank from a spiritual rock.” </w:t>
      </w:r>
      <w:r w:rsidRPr="00F66BE7">
        <w:rPr>
          <w:rFonts w:ascii="Sylfaen" w:hAnsi="Sylfaen"/>
          <w:sz w:val="28"/>
          <w:szCs w:val="28"/>
        </w:rPr>
        <w:t>We find the</w:t>
      </w:r>
      <w:r w:rsidRPr="00F66BE7">
        <w:rPr>
          <w:rFonts w:ascii="Sylfaen" w:hAnsi="Sylfaen"/>
          <w:i/>
          <w:iCs/>
          <w:sz w:val="28"/>
          <w:szCs w:val="28"/>
        </w:rPr>
        <w:t xml:space="preserve"> </w:t>
      </w:r>
      <w:r w:rsidRPr="00F66BE7">
        <w:rPr>
          <w:rFonts w:ascii="Sylfaen" w:hAnsi="Sylfaen"/>
          <w:sz w:val="28"/>
          <w:szCs w:val="28"/>
        </w:rPr>
        <w:t>direct reference to the rock and the water flowing from it in Exodus 17:6 and Numbers 20:7–11, where Lord’s presence and miraculous power are manifested. There are also indirect references to this incident in other parts of the Bible (Ps 78:20; 78:35, 105:41; 114:8; Isa 48:21), because of the centrality of this event in the life of the Israelites.</w:t>
      </w:r>
      <w:r w:rsidR="00014460">
        <w:rPr>
          <w:rStyle w:val="FootnoteReference"/>
          <w:rFonts w:ascii="Sylfaen" w:hAnsi="Sylfaen"/>
          <w:sz w:val="28"/>
          <w:szCs w:val="28"/>
        </w:rPr>
        <w:footnoteReference w:id="15"/>
      </w:r>
    </w:p>
    <w:p w14:paraId="0FFEB60A" w14:textId="77777777" w:rsidR="000E351E" w:rsidRPr="00F66BE7" w:rsidRDefault="000E351E" w:rsidP="000E351E">
      <w:pPr>
        <w:jc w:val="both"/>
        <w:rPr>
          <w:rFonts w:ascii="Sylfaen" w:hAnsi="Sylfaen"/>
          <w:sz w:val="28"/>
          <w:szCs w:val="28"/>
        </w:rPr>
      </w:pPr>
    </w:p>
    <w:p w14:paraId="399A554E" w14:textId="56275D4C" w:rsidR="000E351E" w:rsidRPr="00F66BE7" w:rsidRDefault="000E351E" w:rsidP="000E351E">
      <w:pPr>
        <w:jc w:val="both"/>
        <w:rPr>
          <w:rFonts w:ascii="Sylfaen" w:hAnsi="Sylfaen"/>
          <w:sz w:val="28"/>
          <w:szCs w:val="28"/>
        </w:rPr>
      </w:pPr>
      <w:r w:rsidRPr="00F66BE7">
        <w:rPr>
          <w:rFonts w:ascii="Sylfaen" w:hAnsi="Sylfaen"/>
          <w:sz w:val="28"/>
          <w:szCs w:val="28"/>
        </w:rPr>
        <w:t>On other occasions in the Old Testament God is figuratively described as the rock (Gen 49:24; Deut 32:3–4, 15, 18, 30–31; 1 Sam 2:2; 2 Sam 22:2–3, 32, 47; 23:3; Ps 18:2, 32, 46; 19:14; 28:1; 31:2, 3; 42:9; 61:2; 62:2, 6–7; 71:3; 89:26; 92:15; 94:22; 95:1; 144:1; Isa 17:10; 26:4; 30:29; 44:8; 51:1; Hab 1:12), symbolizing firmness, endurance and refuge.</w:t>
      </w:r>
      <w:r w:rsidR="002A2063">
        <w:rPr>
          <w:rStyle w:val="FootnoteReference"/>
          <w:rFonts w:ascii="Sylfaen" w:hAnsi="Sylfaen"/>
          <w:sz w:val="28"/>
          <w:szCs w:val="28"/>
        </w:rPr>
        <w:footnoteReference w:id="16"/>
      </w:r>
    </w:p>
    <w:p w14:paraId="6B53A133" w14:textId="77777777" w:rsidR="002A2063" w:rsidRDefault="002A2063" w:rsidP="000E351E">
      <w:pPr>
        <w:jc w:val="both"/>
        <w:rPr>
          <w:rFonts w:ascii="Sylfaen" w:hAnsi="Sylfaen"/>
          <w:sz w:val="28"/>
          <w:szCs w:val="28"/>
        </w:rPr>
      </w:pPr>
    </w:p>
    <w:p w14:paraId="70C76999" w14:textId="528C36A5" w:rsidR="000E351E" w:rsidRPr="00F66BE7" w:rsidRDefault="000E351E" w:rsidP="000E351E">
      <w:pPr>
        <w:jc w:val="both"/>
        <w:rPr>
          <w:rFonts w:ascii="Sylfaen" w:hAnsi="Sylfaen"/>
          <w:sz w:val="28"/>
          <w:szCs w:val="28"/>
        </w:rPr>
      </w:pPr>
      <w:r w:rsidRPr="00F66BE7">
        <w:rPr>
          <w:rFonts w:ascii="Sylfaen" w:hAnsi="Sylfaen"/>
          <w:sz w:val="28"/>
          <w:szCs w:val="28"/>
        </w:rPr>
        <w:t xml:space="preserve">In the New Testament, in the context of Matthew 16:16–18, Jesus’ affirmation </w:t>
      </w:r>
      <w:r w:rsidRPr="00F66BE7">
        <w:rPr>
          <w:rFonts w:ascii="Sylfaen" w:hAnsi="Sylfaen"/>
          <w:i/>
          <w:iCs/>
          <w:sz w:val="28"/>
          <w:szCs w:val="28"/>
        </w:rPr>
        <w:t>“You are Peter, and upon this rock I will build my church,”</w:t>
      </w:r>
      <w:r w:rsidRPr="00F66BE7">
        <w:rPr>
          <w:rFonts w:ascii="Sylfaen" w:hAnsi="Sylfaen"/>
          <w:sz w:val="28"/>
          <w:szCs w:val="28"/>
        </w:rPr>
        <w:t xml:space="preserve"> makes Peter a rock only through his relation to Christ; the foundation on which Christ would build his church is the eternal, unalterable truth of the Petrine confession: </w:t>
      </w:r>
      <w:r w:rsidRPr="00F66BE7">
        <w:rPr>
          <w:rFonts w:ascii="Sylfaen" w:hAnsi="Sylfaen"/>
          <w:i/>
          <w:iCs/>
          <w:sz w:val="28"/>
          <w:szCs w:val="28"/>
        </w:rPr>
        <w:t xml:space="preserve">“You are </w:t>
      </w:r>
      <w:r w:rsidRPr="00F66BE7">
        <w:rPr>
          <w:rFonts w:ascii="Sylfaen" w:hAnsi="Sylfaen"/>
          <w:i/>
          <w:iCs/>
          <w:sz w:val="28"/>
          <w:szCs w:val="28"/>
        </w:rPr>
        <w:lastRenderedPageBreak/>
        <w:t>the Messiah, the Son of the living God.”</w:t>
      </w:r>
      <w:r w:rsidR="00AB79BB">
        <w:rPr>
          <w:rStyle w:val="FootnoteReference"/>
          <w:rFonts w:ascii="Sylfaen" w:hAnsi="Sylfaen"/>
          <w:sz w:val="28"/>
          <w:szCs w:val="28"/>
        </w:rPr>
        <w:footnoteReference w:id="17"/>
      </w:r>
      <w:r w:rsidR="00AB79BB">
        <w:rPr>
          <w:rFonts w:ascii="Sylfaen" w:hAnsi="Sylfaen"/>
        </w:rPr>
        <w:t xml:space="preserve"> </w:t>
      </w:r>
      <w:r w:rsidRPr="00F66BE7">
        <w:rPr>
          <w:rFonts w:ascii="Sylfaen" w:hAnsi="Sylfaen"/>
          <w:sz w:val="28"/>
          <w:szCs w:val="28"/>
        </w:rPr>
        <w:t xml:space="preserve">On the other hand, Paul applies the rock struck in the wilderness (Exod 17:6; Num 20:7–11) to Christ as the source of living water for spiritual stimulation (1 Cor 10:4). </w:t>
      </w:r>
    </w:p>
    <w:p w14:paraId="2D2B11BD" w14:textId="77777777" w:rsidR="000E351E" w:rsidRPr="00F66BE7" w:rsidRDefault="000E351E" w:rsidP="000E351E">
      <w:pPr>
        <w:jc w:val="both"/>
        <w:rPr>
          <w:rFonts w:ascii="Sylfaen" w:hAnsi="Sylfaen"/>
          <w:sz w:val="28"/>
          <w:szCs w:val="28"/>
        </w:rPr>
      </w:pPr>
    </w:p>
    <w:p w14:paraId="68543C93" w14:textId="543F0537" w:rsidR="000E351E" w:rsidRPr="00F66BE7" w:rsidRDefault="000E351E" w:rsidP="000E351E">
      <w:pPr>
        <w:numPr>
          <w:ilvl w:val="0"/>
          <w:numId w:val="1"/>
        </w:numPr>
        <w:tabs>
          <w:tab w:val="clear" w:pos="720"/>
          <w:tab w:val="num" w:pos="360"/>
        </w:tabs>
        <w:ind w:left="0" w:firstLine="0"/>
        <w:jc w:val="both"/>
        <w:rPr>
          <w:rFonts w:ascii="Sylfaen" w:hAnsi="Sylfaen"/>
          <w:sz w:val="28"/>
          <w:szCs w:val="28"/>
        </w:rPr>
      </w:pPr>
      <w:r w:rsidRPr="00F66BE7">
        <w:rPr>
          <w:rFonts w:ascii="Sylfaen" w:hAnsi="Sylfaen"/>
          <w:i/>
          <w:iCs/>
          <w:sz w:val="28"/>
          <w:szCs w:val="28"/>
        </w:rPr>
        <w:t>“The rock followed them … the rock was the Christ.”</w:t>
      </w:r>
      <w:r w:rsidRPr="00F66BE7">
        <w:rPr>
          <w:rFonts w:ascii="Sylfaen" w:hAnsi="Sylfaen"/>
          <w:sz w:val="28"/>
          <w:szCs w:val="28"/>
        </w:rPr>
        <w:t xml:space="preserve"> This is a Pauline addition to justify his claim of the election of Israel and salvation of the New Israel in Christ. The interconnectedness of these two is supported on Jewish midrashic background.</w:t>
      </w:r>
      <w:r w:rsidR="000D783F">
        <w:rPr>
          <w:rStyle w:val="FootnoteReference"/>
          <w:rFonts w:ascii="Sylfaen" w:hAnsi="Sylfaen"/>
          <w:sz w:val="28"/>
          <w:szCs w:val="28"/>
        </w:rPr>
        <w:footnoteReference w:id="18"/>
      </w:r>
      <w:r w:rsidRPr="00F66BE7">
        <w:rPr>
          <w:rFonts w:ascii="Sylfaen" w:hAnsi="Sylfaen"/>
          <w:sz w:val="28"/>
          <w:szCs w:val="28"/>
        </w:rPr>
        <w:t xml:space="preserve"> </w:t>
      </w:r>
    </w:p>
    <w:p w14:paraId="02A4C718" w14:textId="77777777" w:rsidR="000E351E" w:rsidRPr="00F66BE7" w:rsidRDefault="000E351E" w:rsidP="000E351E">
      <w:pPr>
        <w:jc w:val="both"/>
        <w:rPr>
          <w:rFonts w:ascii="Sylfaen" w:hAnsi="Sylfaen"/>
          <w:sz w:val="28"/>
          <w:szCs w:val="28"/>
        </w:rPr>
      </w:pPr>
    </w:p>
    <w:p w14:paraId="0676A895" w14:textId="204325D6" w:rsidR="000E351E" w:rsidRPr="00F66BE7" w:rsidRDefault="000E351E" w:rsidP="000E351E">
      <w:pPr>
        <w:jc w:val="both"/>
        <w:rPr>
          <w:rFonts w:ascii="Sylfaen" w:hAnsi="Sylfaen"/>
          <w:sz w:val="28"/>
          <w:szCs w:val="28"/>
        </w:rPr>
      </w:pPr>
      <w:r w:rsidRPr="00F66BE7">
        <w:rPr>
          <w:rFonts w:ascii="Sylfaen" w:hAnsi="Sylfaen"/>
          <w:sz w:val="28"/>
          <w:szCs w:val="28"/>
        </w:rPr>
        <w:t>I conclude this section with I Corinthians 10:1–4 interpretation of St. Ephrem the Syrian (306–373): “Sea symbolizes baptism and the covering cloud is the hand of the priest over the baptized. After baptism we attain the reception of the flesh and blood [of Christ]. When people were baptized and then ate the spiritual manna and drank the spiritual water, were called spiritual beings because manna was descended from heaven and the new water that was gushing out of the rock. Christ was called the rock, because like the rock Lord’s side was pierced and water and blood came out; blood came out for the remission of sins of all the gentiles</w:t>
      </w:r>
      <w:r w:rsidR="005F0ABD">
        <w:rPr>
          <w:rFonts w:ascii="Sylfaen" w:hAnsi="Sylfaen"/>
          <w:sz w:val="28"/>
          <w:szCs w:val="28"/>
        </w:rPr>
        <w:t>.</w:t>
      </w:r>
      <w:r w:rsidRPr="00F66BE7">
        <w:rPr>
          <w:rFonts w:ascii="Sylfaen" w:hAnsi="Sylfaen"/>
          <w:sz w:val="28"/>
          <w:szCs w:val="28"/>
        </w:rPr>
        <w:t>”</w:t>
      </w:r>
      <w:r w:rsidR="005F0ABD">
        <w:rPr>
          <w:rStyle w:val="FootnoteReference"/>
          <w:rFonts w:ascii="Sylfaen" w:hAnsi="Sylfaen"/>
          <w:sz w:val="28"/>
          <w:szCs w:val="28"/>
        </w:rPr>
        <w:footnoteReference w:id="19"/>
      </w:r>
      <w:r w:rsidRPr="00F66BE7">
        <w:rPr>
          <w:rFonts w:ascii="Sylfaen" w:hAnsi="Sylfaen"/>
          <w:sz w:val="28"/>
          <w:szCs w:val="28"/>
        </w:rPr>
        <w:t xml:space="preserve"> </w:t>
      </w:r>
    </w:p>
    <w:p w14:paraId="112E0CD6" w14:textId="77777777" w:rsidR="000E351E" w:rsidRPr="00F66BE7" w:rsidRDefault="000E351E" w:rsidP="000E351E">
      <w:pPr>
        <w:jc w:val="both"/>
        <w:rPr>
          <w:rFonts w:ascii="Sylfaen" w:hAnsi="Sylfaen"/>
          <w:b/>
          <w:bCs/>
          <w:iCs/>
          <w:sz w:val="28"/>
          <w:szCs w:val="28"/>
        </w:rPr>
      </w:pPr>
    </w:p>
    <w:p w14:paraId="2EAF3AC4" w14:textId="77777777" w:rsidR="000E351E" w:rsidRPr="00F66BE7" w:rsidRDefault="000E351E" w:rsidP="000E351E">
      <w:pPr>
        <w:jc w:val="both"/>
        <w:rPr>
          <w:rFonts w:ascii="Sylfaen" w:hAnsi="Sylfaen"/>
          <w:sz w:val="28"/>
          <w:szCs w:val="28"/>
          <w:u w:val="single"/>
        </w:rPr>
      </w:pPr>
      <w:r w:rsidRPr="00F66BE7">
        <w:rPr>
          <w:rFonts w:ascii="Sylfaen" w:hAnsi="Sylfaen"/>
          <w:b/>
          <w:bCs/>
          <w:iCs/>
          <w:sz w:val="28"/>
          <w:szCs w:val="28"/>
        </w:rPr>
        <w:t>3. My Context: The Transcendence of Armenianness</w:t>
      </w:r>
    </w:p>
    <w:p w14:paraId="136E38EE" w14:textId="77777777" w:rsidR="000E351E" w:rsidRPr="00F66BE7" w:rsidRDefault="000E351E" w:rsidP="000E351E">
      <w:pPr>
        <w:jc w:val="both"/>
        <w:rPr>
          <w:rFonts w:ascii="Sylfaen" w:hAnsi="Sylfaen"/>
          <w:sz w:val="28"/>
          <w:szCs w:val="28"/>
        </w:rPr>
      </w:pPr>
      <w:r w:rsidRPr="00F66BE7">
        <w:rPr>
          <w:rFonts w:ascii="Sylfaen" w:hAnsi="Sylfaen"/>
          <w:sz w:val="28"/>
          <w:szCs w:val="28"/>
        </w:rPr>
        <w:t xml:space="preserve">In order to analyze the interaction of this metaphor in my communal life, the clarification of the context of my ministry at the headquarters of the Monastic </w:t>
      </w:r>
      <w:r w:rsidRPr="00F66BE7">
        <w:rPr>
          <w:rFonts w:ascii="Sylfaen" w:hAnsi="Sylfaen"/>
          <w:sz w:val="28"/>
          <w:szCs w:val="28"/>
        </w:rPr>
        <w:lastRenderedPageBreak/>
        <w:t xml:space="preserve">Brotherhood of the Armenian Apostolic Orthodox Church-Catholicosate of Cilicia in Antelias (Lebanon) is essential. </w:t>
      </w:r>
    </w:p>
    <w:p w14:paraId="068ACDF4" w14:textId="77777777" w:rsidR="000E351E" w:rsidRPr="00F66BE7" w:rsidRDefault="000E351E" w:rsidP="000E351E">
      <w:pPr>
        <w:jc w:val="both"/>
        <w:rPr>
          <w:rFonts w:ascii="Sylfaen" w:hAnsi="Sylfaen"/>
          <w:sz w:val="28"/>
          <w:szCs w:val="28"/>
        </w:rPr>
      </w:pPr>
    </w:p>
    <w:p w14:paraId="160BD06A" w14:textId="3631B325" w:rsidR="000E351E" w:rsidRPr="00F66BE7" w:rsidRDefault="000E351E" w:rsidP="000E351E">
      <w:pPr>
        <w:jc w:val="both"/>
        <w:rPr>
          <w:rFonts w:ascii="Sylfaen" w:hAnsi="Sylfaen"/>
          <w:sz w:val="28"/>
          <w:szCs w:val="28"/>
        </w:rPr>
      </w:pPr>
      <w:r w:rsidRPr="00F66BE7">
        <w:rPr>
          <w:rFonts w:ascii="Sylfaen" w:hAnsi="Sylfaen"/>
          <w:sz w:val="28"/>
          <w:szCs w:val="28"/>
        </w:rPr>
        <w:t>At our monastic headquarters we have the constant reminder of the arching of the old and new deliverance experiences in the heroes of faith as our mentors and source of inspiration and commitment, and the continuous presence of Christ as the leading force and sustainer of our common ministry to deliver ourselves and the people we are serving from the slavery of sin. The sacramental reality,</w:t>
      </w:r>
      <w:r w:rsidR="00E97EE4">
        <w:rPr>
          <w:rStyle w:val="FootnoteReference"/>
          <w:rFonts w:ascii="Sylfaen" w:hAnsi="Sylfaen"/>
          <w:sz w:val="28"/>
          <w:szCs w:val="28"/>
        </w:rPr>
        <w:footnoteReference w:id="20"/>
      </w:r>
      <w:r w:rsidRPr="00F66BE7">
        <w:rPr>
          <w:rFonts w:ascii="Sylfaen" w:hAnsi="Sylfaen"/>
          <w:sz w:val="28"/>
          <w:szCs w:val="28"/>
        </w:rPr>
        <w:t xml:space="preserve"> especially of baptism and holy eucharist, is developed on this background in the Trinitarian dimension of being “under the cloud” of the Father, the Son and the Holy Spirit.</w:t>
      </w:r>
    </w:p>
    <w:p w14:paraId="5E472844" w14:textId="77777777" w:rsidR="000E351E" w:rsidRPr="00F66BE7" w:rsidRDefault="000E351E" w:rsidP="000E351E">
      <w:pPr>
        <w:jc w:val="both"/>
        <w:rPr>
          <w:rFonts w:ascii="Sylfaen" w:hAnsi="Sylfaen"/>
          <w:sz w:val="28"/>
          <w:szCs w:val="28"/>
        </w:rPr>
      </w:pPr>
    </w:p>
    <w:p w14:paraId="6AE0B246" w14:textId="72E8919B" w:rsidR="000E351E" w:rsidRPr="00F66BE7" w:rsidRDefault="000E351E" w:rsidP="000E351E">
      <w:pPr>
        <w:jc w:val="both"/>
        <w:rPr>
          <w:rFonts w:ascii="Sylfaen" w:hAnsi="Sylfaen"/>
          <w:sz w:val="28"/>
          <w:szCs w:val="28"/>
        </w:rPr>
      </w:pPr>
      <w:r w:rsidRPr="00F66BE7">
        <w:rPr>
          <w:rFonts w:ascii="Sylfaen" w:hAnsi="Sylfaen"/>
          <w:sz w:val="28"/>
          <w:szCs w:val="28"/>
        </w:rPr>
        <w:t>The Armenian witness to Christ goes back to the 1</w:t>
      </w:r>
      <w:r w:rsidRPr="00F66BE7">
        <w:rPr>
          <w:rFonts w:ascii="Sylfaen" w:hAnsi="Sylfaen"/>
          <w:sz w:val="28"/>
          <w:szCs w:val="28"/>
          <w:vertAlign w:val="superscript"/>
        </w:rPr>
        <w:t>st</w:t>
      </w:r>
      <w:r w:rsidRPr="00F66BE7">
        <w:rPr>
          <w:rFonts w:ascii="Sylfaen" w:hAnsi="Sylfaen"/>
          <w:sz w:val="28"/>
          <w:szCs w:val="28"/>
        </w:rPr>
        <w:t xml:space="preserve"> century, when Apostles Sts. Thaddeus and Bartholomew preached Christianity in Armenia. In 301 Armenians proclaimed Christianity as their state religion and became the first nation to declare it as the religion of their homeland.</w:t>
      </w:r>
      <w:r w:rsidR="00E0048A">
        <w:rPr>
          <w:rStyle w:val="FootnoteReference"/>
          <w:rFonts w:ascii="Sylfaen" w:hAnsi="Sylfaen"/>
          <w:sz w:val="28"/>
          <w:szCs w:val="28"/>
        </w:rPr>
        <w:footnoteReference w:id="21"/>
      </w:r>
      <w:r w:rsidR="00442DEA">
        <w:rPr>
          <w:rFonts w:ascii="Sylfaen" w:hAnsi="Sylfaen"/>
          <w:sz w:val="28"/>
          <w:szCs w:val="28"/>
        </w:rPr>
        <w:t xml:space="preserve"> </w:t>
      </w:r>
      <w:r w:rsidRPr="00F66BE7">
        <w:rPr>
          <w:rFonts w:ascii="Sylfaen" w:hAnsi="Sylfaen"/>
          <w:sz w:val="28"/>
          <w:szCs w:val="28"/>
        </w:rPr>
        <w:t>The head of the Armenian Church is called Catholicos, who resides at the Catholicosate. Since 1441, the Armenian Church has two Catholicoi and two hierarchical centers. The Catholicosate of Cilicia is settled in Antelias since 1930, after the Genocide, when, during the First World War, 1.5 million Armenians were massacred by the Turks and the survivors were driven out of their historical lands of Armenia and Cilicia and scattered all over the world and created the Armenian Diaspora.</w:t>
      </w:r>
    </w:p>
    <w:p w14:paraId="49240970" w14:textId="77777777" w:rsidR="000E351E" w:rsidRPr="00F66BE7" w:rsidRDefault="000E351E" w:rsidP="000E351E">
      <w:pPr>
        <w:jc w:val="both"/>
        <w:rPr>
          <w:rFonts w:ascii="Sylfaen" w:hAnsi="Sylfaen"/>
          <w:sz w:val="28"/>
          <w:szCs w:val="28"/>
        </w:rPr>
      </w:pPr>
    </w:p>
    <w:p w14:paraId="068AD7A5" w14:textId="5E94CAF5" w:rsidR="000E351E" w:rsidRPr="00F66BE7" w:rsidRDefault="000E351E" w:rsidP="000E351E">
      <w:pPr>
        <w:jc w:val="both"/>
        <w:rPr>
          <w:rFonts w:ascii="Sylfaen" w:hAnsi="Sylfaen"/>
          <w:sz w:val="28"/>
          <w:szCs w:val="28"/>
        </w:rPr>
      </w:pPr>
      <w:r w:rsidRPr="00F66BE7">
        <w:rPr>
          <w:rFonts w:ascii="Sylfaen" w:hAnsi="Sylfaen"/>
          <w:sz w:val="28"/>
          <w:szCs w:val="28"/>
        </w:rPr>
        <w:t xml:space="preserve">The consequences of the First World War Genocide in the Armenian Diaspora and the totalitarian regime of the Communism in Armenia are still heavily present in the life and service of the Church. The organized life of the Armenian communities in the Diaspora and the independence of Armenia (September 21, </w:t>
      </w:r>
      <w:r w:rsidRPr="00F66BE7">
        <w:rPr>
          <w:rFonts w:ascii="Sylfaen" w:hAnsi="Sylfaen"/>
          <w:sz w:val="28"/>
          <w:szCs w:val="28"/>
        </w:rPr>
        <w:lastRenderedPageBreak/>
        <w:t>1991) generated new dynamism in the Church but made relevant the emergence of multiple Armenian identities of Diaspora Armenian/s and homeland Armenian.</w:t>
      </w:r>
      <w:r w:rsidR="00442DEA">
        <w:rPr>
          <w:rStyle w:val="FootnoteReference"/>
          <w:rFonts w:ascii="Sylfaen" w:hAnsi="Sylfaen"/>
          <w:sz w:val="28"/>
          <w:szCs w:val="28"/>
        </w:rPr>
        <w:footnoteReference w:id="22"/>
      </w:r>
      <w:r w:rsidRPr="00F66BE7">
        <w:rPr>
          <w:rFonts w:ascii="Sylfaen" w:hAnsi="Sylfaen"/>
          <w:sz w:val="28"/>
          <w:szCs w:val="28"/>
        </w:rPr>
        <w:t xml:space="preserve"> The two most acute challenges the Church is facing today are (1) the tension between assimilation and integration in the multi-faith and multi-cultural Diaspora, and (2) the renewal of the Christian faith especially in Armenia. In the first case we are facing the danger of symbolic ethnicity and in the second case we are encountering the threat of symbolic religiosity. </w:t>
      </w:r>
    </w:p>
    <w:p w14:paraId="177F9322" w14:textId="77777777" w:rsidR="000E351E" w:rsidRPr="00F66BE7" w:rsidRDefault="000E351E" w:rsidP="000E351E">
      <w:pPr>
        <w:jc w:val="both"/>
        <w:rPr>
          <w:rFonts w:ascii="Sylfaen" w:hAnsi="Sylfaen"/>
          <w:sz w:val="28"/>
          <w:szCs w:val="28"/>
        </w:rPr>
      </w:pPr>
    </w:p>
    <w:p w14:paraId="143C500D" w14:textId="5601941F" w:rsidR="000E351E" w:rsidRPr="00F66BE7" w:rsidRDefault="000E351E" w:rsidP="000E351E">
      <w:pPr>
        <w:jc w:val="both"/>
        <w:rPr>
          <w:rFonts w:ascii="Sylfaen" w:hAnsi="Sylfaen"/>
          <w:sz w:val="28"/>
          <w:szCs w:val="28"/>
        </w:rPr>
      </w:pPr>
      <w:r w:rsidRPr="00F66BE7">
        <w:rPr>
          <w:rFonts w:ascii="Sylfaen" w:hAnsi="Sylfaen"/>
          <w:sz w:val="28"/>
          <w:szCs w:val="28"/>
        </w:rPr>
        <w:t>The Armenian Church is the church of the Armenians. As a national church it embraces the totality of the nation and has the noble obligation of reaching out to all the Armenians. Consequently, it is irrelevant to draw a line of demarcation between religion, culture and ethnicity. The Armenian Church has never ceased to strongly influence the Armenian culture. Church and nation are intertwined together as one entity.</w:t>
      </w:r>
      <w:r w:rsidR="00D63C55">
        <w:rPr>
          <w:rStyle w:val="FootnoteReference"/>
          <w:rFonts w:ascii="Sylfaen" w:hAnsi="Sylfaen"/>
          <w:sz w:val="28"/>
          <w:szCs w:val="28"/>
        </w:rPr>
        <w:footnoteReference w:id="23"/>
      </w:r>
      <w:r w:rsidRPr="00F66BE7">
        <w:rPr>
          <w:rFonts w:ascii="Sylfaen" w:hAnsi="Sylfaen"/>
          <w:sz w:val="28"/>
          <w:szCs w:val="28"/>
        </w:rPr>
        <w:t xml:space="preserve"> </w:t>
      </w:r>
    </w:p>
    <w:p w14:paraId="68D7CE40" w14:textId="77777777" w:rsidR="000E351E" w:rsidRPr="00F66BE7" w:rsidRDefault="000E351E" w:rsidP="000E351E">
      <w:pPr>
        <w:jc w:val="both"/>
        <w:rPr>
          <w:rFonts w:ascii="Sylfaen" w:hAnsi="Sylfaen"/>
          <w:sz w:val="28"/>
          <w:szCs w:val="28"/>
        </w:rPr>
      </w:pPr>
    </w:p>
    <w:p w14:paraId="3A104AB0" w14:textId="77777777" w:rsidR="000E351E" w:rsidRPr="00F66BE7" w:rsidRDefault="000E351E" w:rsidP="000E351E">
      <w:pPr>
        <w:jc w:val="both"/>
        <w:rPr>
          <w:rFonts w:ascii="Sylfaen" w:hAnsi="Sylfaen"/>
          <w:sz w:val="28"/>
          <w:szCs w:val="28"/>
        </w:rPr>
      </w:pPr>
      <w:r w:rsidRPr="00F66BE7">
        <w:rPr>
          <w:rFonts w:ascii="Sylfaen" w:hAnsi="Sylfaen"/>
          <w:sz w:val="28"/>
          <w:szCs w:val="28"/>
        </w:rPr>
        <w:t xml:space="preserve">The Armenian Catholicosate of Cilicia is the administrative center of the Armenian Orthodox Church settled in Armenian Diaspora. The other </w:t>
      </w:r>
      <w:r w:rsidRPr="00F66BE7">
        <w:rPr>
          <w:rFonts w:ascii="Sylfaen" w:hAnsi="Sylfaen"/>
          <w:sz w:val="28"/>
          <w:szCs w:val="28"/>
        </w:rPr>
        <w:lastRenderedPageBreak/>
        <w:t xml:space="preserve">administrative center, the Armenian Catholicosate of All Armenians, is in Holy Etchmiadzin-Armenia. </w:t>
      </w:r>
    </w:p>
    <w:p w14:paraId="1E0E08D2" w14:textId="77777777" w:rsidR="000E351E" w:rsidRPr="00F66BE7" w:rsidRDefault="000E351E" w:rsidP="000E351E">
      <w:pPr>
        <w:jc w:val="both"/>
        <w:rPr>
          <w:rFonts w:ascii="Sylfaen" w:hAnsi="Sylfaen"/>
          <w:sz w:val="28"/>
          <w:szCs w:val="28"/>
        </w:rPr>
      </w:pPr>
    </w:p>
    <w:p w14:paraId="1B7533B0" w14:textId="52CE2F3F" w:rsidR="000E351E" w:rsidRPr="00F66BE7" w:rsidRDefault="000E351E" w:rsidP="000E351E">
      <w:pPr>
        <w:jc w:val="both"/>
        <w:rPr>
          <w:rFonts w:ascii="Sylfaen" w:hAnsi="Sylfaen"/>
          <w:iCs/>
          <w:sz w:val="28"/>
          <w:szCs w:val="28"/>
        </w:rPr>
      </w:pPr>
      <w:r w:rsidRPr="00F66BE7">
        <w:rPr>
          <w:rFonts w:ascii="Sylfaen" w:hAnsi="Sylfaen"/>
          <w:sz w:val="28"/>
          <w:szCs w:val="28"/>
        </w:rPr>
        <w:t xml:space="preserve">The first article of the by-laws of my Brotherhood encapsulates our mission: “The Brotherhood of the Catholicosate of Cilicia consists of celibate clergy who are called to serve God, the Armenian Church and the Armenian people. They take a vow of living brotherly common life in Christian love and in accordance with the spirit of obedience inspired by these by-laws. Their mission is to proclaim the gospel of Christ and to contribute to the spiritual and national life and cultural preservation and promotion of the Armenians, by serving the Holy Apostolic Armenian Church.” </w:t>
      </w:r>
      <w:r w:rsidRPr="00F66BE7">
        <w:rPr>
          <w:rFonts w:ascii="Sylfaen" w:hAnsi="Sylfaen"/>
          <w:iCs/>
          <w:sz w:val="28"/>
          <w:szCs w:val="28"/>
        </w:rPr>
        <w:t xml:space="preserve">It is very clear that the Brotherhood is a missionary reality, its main objective being serving God through the Armenian nation. It is not a self-contained fraternity but a spiritual, educational, cultural, ecumenical and social outreach for the up-building of the nation. This outreach is carried out </w:t>
      </w:r>
      <w:r w:rsidRPr="00F66BE7">
        <w:rPr>
          <w:rFonts w:ascii="Sylfaen" w:hAnsi="Sylfaen"/>
          <w:sz w:val="28"/>
          <w:szCs w:val="28"/>
        </w:rPr>
        <w:t>as a corporate servant leadership in the contemporary globalized societies of the Armenian Diaspora, where the prioritization of the preaching of the Good News and its harmonization with ethnicity and culture is paramount for the formation of an Armeno-Christian identity.</w:t>
      </w:r>
      <w:r w:rsidR="00DC7F39">
        <w:rPr>
          <w:rStyle w:val="FootnoteReference"/>
          <w:rFonts w:ascii="Sylfaen" w:hAnsi="Sylfaen"/>
          <w:sz w:val="28"/>
          <w:szCs w:val="28"/>
        </w:rPr>
        <w:footnoteReference w:id="24"/>
      </w:r>
    </w:p>
    <w:p w14:paraId="68C0FB2F" w14:textId="77777777" w:rsidR="000E351E" w:rsidRDefault="000E351E" w:rsidP="000E351E">
      <w:pPr>
        <w:jc w:val="both"/>
        <w:rPr>
          <w:rFonts w:ascii="Sylfaen" w:hAnsi="Sylfaen"/>
          <w:sz w:val="28"/>
          <w:szCs w:val="28"/>
        </w:rPr>
      </w:pPr>
      <w:r w:rsidRPr="00F66BE7">
        <w:rPr>
          <w:rFonts w:ascii="Sylfaen" w:hAnsi="Sylfaen"/>
          <w:sz w:val="28"/>
          <w:szCs w:val="28"/>
        </w:rPr>
        <w:lastRenderedPageBreak/>
        <w:t>Therefore, the I Corinthians 10:1–4 metaphor has the following applications and transformative implications for my context:</w:t>
      </w:r>
    </w:p>
    <w:p w14:paraId="782BA7A9" w14:textId="77777777" w:rsidR="00DF1A93" w:rsidRPr="00F66BE7" w:rsidRDefault="00DF1A93" w:rsidP="000E351E">
      <w:pPr>
        <w:jc w:val="both"/>
        <w:rPr>
          <w:rFonts w:ascii="Sylfaen" w:hAnsi="Sylfaen"/>
          <w:sz w:val="28"/>
          <w:szCs w:val="28"/>
        </w:rPr>
      </w:pPr>
    </w:p>
    <w:p w14:paraId="4E7134E2" w14:textId="11B70DF1" w:rsidR="000E351E" w:rsidRPr="00F66BE7" w:rsidRDefault="000E351E" w:rsidP="000E351E">
      <w:pPr>
        <w:numPr>
          <w:ilvl w:val="0"/>
          <w:numId w:val="2"/>
        </w:numPr>
        <w:tabs>
          <w:tab w:val="num" w:pos="360"/>
          <w:tab w:val="left" w:pos="8640"/>
        </w:tabs>
        <w:ind w:left="0" w:firstLine="0"/>
        <w:jc w:val="both"/>
        <w:rPr>
          <w:rFonts w:ascii="Sylfaen" w:hAnsi="Sylfaen"/>
          <w:i/>
          <w:iCs/>
          <w:sz w:val="28"/>
          <w:szCs w:val="28"/>
        </w:rPr>
      </w:pPr>
      <w:r w:rsidRPr="00F66BE7">
        <w:rPr>
          <w:rFonts w:ascii="Sylfaen" w:hAnsi="Sylfaen"/>
          <w:i/>
          <w:iCs/>
          <w:sz w:val="28"/>
          <w:szCs w:val="28"/>
        </w:rPr>
        <w:t>God’s protection is relevant in our daily life and entire ministry.</w:t>
      </w:r>
      <w:r w:rsidRPr="00F66BE7">
        <w:rPr>
          <w:rFonts w:ascii="Sylfaen" w:hAnsi="Sylfaen"/>
          <w:sz w:val="28"/>
          <w:szCs w:val="28"/>
        </w:rPr>
        <w:t xml:space="preserve"> We are being led by a pillar of fire by night and a pillar of cloud by day. The Lord does not only appear to us as the mighty guide and the graceful protector, but we experience that God is always with us and we are his co-workers. Every afternoon we pray in our Vespers</w:t>
      </w:r>
      <w:r w:rsidR="00DF1A93">
        <w:rPr>
          <w:rStyle w:val="FootnoteReference"/>
          <w:rFonts w:ascii="Sylfaen" w:hAnsi="Sylfaen"/>
          <w:sz w:val="28"/>
          <w:szCs w:val="28"/>
        </w:rPr>
        <w:footnoteReference w:id="25"/>
      </w:r>
      <w:r w:rsidRPr="00F66BE7">
        <w:rPr>
          <w:rFonts w:ascii="Sylfaen" w:hAnsi="Sylfaen"/>
          <w:sz w:val="28"/>
          <w:szCs w:val="28"/>
        </w:rPr>
        <w:t xml:space="preserve">: </w:t>
      </w:r>
      <w:r w:rsidRPr="00F66BE7">
        <w:rPr>
          <w:rFonts w:ascii="Sylfaen" w:hAnsi="Sylfaen"/>
          <w:i/>
          <w:iCs/>
          <w:sz w:val="28"/>
          <w:szCs w:val="28"/>
        </w:rPr>
        <w:t>“God will rescue you from the fowler’s snare, from the destroying plague, shelter you with pinions, spread wings that you may take refuge; God’s faithfulness is a protecting shield”</w:t>
      </w:r>
      <w:r w:rsidRPr="00F66BE7">
        <w:rPr>
          <w:rFonts w:ascii="Sylfaen" w:hAnsi="Sylfaen"/>
          <w:sz w:val="28"/>
          <w:szCs w:val="28"/>
        </w:rPr>
        <w:t xml:space="preserve"> (Ps 91:3–4), expressing the confidence that in the contemporary wilderness of moral and spiritual values, manna will appear, a gift will be given and love will descend supplying hope and providing courage to journey on and to become the community of God by responding to God’s presence in the restoration of the broader kinship of God in our people and in our neighborhood at large. </w:t>
      </w:r>
    </w:p>
    <w:p w14:paraId="680690C6" w14:textId="77777777" w:rsidR="000E351E" w:rsidRPr="00F66BE7" w:rsidRDefault="000E351E" w:rsidP="000E351E">
      <w:pPr>
        <w:tabs>
          <w:tab w:val="left" w:pos="8640"/>
        </w:tabs>
        <w:ind w:left="360"/>
        <w:jc w:val="both"/>
        <w:rPr>
          <w:rFonts w:ascii="Sylfaen" w:hAnsi="Sylfaen"/>
          <w:i/>
          <w:iCs/>
          <w:sz w:val="28"/>
          <w:szCs w:val="28"/>
        </w:rPr>
      </w:pPr>
    </w:p>
    <w:p w14:paraId="5EECF17E" w14:textId="77777777" w:rsidR="000E351E" w:rsidRPr="00F66BE7" w:rsidRDefault="000E351E" w:rsidP="000E351E">
      <w:pPr>
        <w:tabs>
          <w:tab w:val="left" w:pos="8640"/>
        </w:tabs>
        <w:jc w:val="both"/>
        <w:rPr>
          <w:rFonts w:ascii="Sylfaen" w:hAnsi="Sylfaen"/>
          <w:i/>
          <w:iCs/>
          <w:sz w:val="28"/>
          <w:szCs w:val="28"/>
        </w:rPr>
      </w:pPr>
      <w:r w:rsidRPr="00F66BE7">
        <w:rPr>
          <w:rFonts w:ascii="Sylfaen" w:hAnsi="Sylfaen"/>
          <w:sz w:val="28"/>
          <w:szCs w:val="28"/>
        </w:rPr>
        <w:lastRenderedPageBreak/>
        <w:t xml:space="preserve">The real challenge here is the realization of the inner community in a way that its connectedness to the outer community could be kept alive by the shared vision of building up a God-pleasing </w:t>
      </w:r>
      <w:r w:rsidRPr="00F66BE7">
        <w:rPr>
          <w:rFonts w:ascii="Sylfaen" w:hAnsi="Sylfaen"/>
          <w:i/>
          <w:sz w:val="28"/>
          <w:szCs w:val="28"/>
        </w:rPr>
        <w:t>oikumene</w:t>
      </w:r>
      <w:r w:rsidRPr="00F66BE7">
        <w:rPr>
          <w:rFonts w:ascii="Sylfaen" w:hAnsi="Sylfaen"/>
          <w:sz w:val="28"/>
          <w:szCs w:val="28"/>
        </w:rPr>
        <w:t xml:space="preserve">. </w:t>
      </w:r>
    </w:p>
    <w:p w14:paraId="42F94863" w14:textId="77777777" w:rsidR="000E351E" w:rsidRPr="00F66BE7" w:rsidRDefault="000E351E" w:rsidP="000E351E">
      <w:pPr>
        <w:tabs>
          <w:tab w:val="left" w:pos="8640"/>
        </w:tabs>
        <w:ind w:left="360"/>
        <w:jc w:val="both"/>
        <w:rPr>
          <w:rFonts w:ascii="Sylfaen" w:hAnsi="Sylfaen"/>
          <w:i/>
          <w:iCs/>
          <w:sz w:val="28"/>
          <w:szCs w:val="28"/>
        </w:rPr>
      </w:pPr>
    </w:p>
    <w:p w14:paraId="705AE118" w14:textId="77777777" w:rsidR="000E351E" w:rsidRPr="00F66BE7" w:rsidRDefault="000E351E" w:rsidP="000E351E">
      <w:pPr>
        <w:numPr>
          <w:ilvl w:val="0"/>
          <w:numId w:val="2"/>
        </w:numPr>
        <w:tabs>
          <w:tab w:val="num" w:pos="360"/>
        </w:tabs>
        <w:ind w:left="0" w:firstLine="0"/>
        <w:jc w:val="both"/>
        <w:rPr>
          <w:rFonts w:ascii="Sylfaen" w:hAnsi="Sylfaen"/>
          <w:sz w:val="28"/>
          <w:szCs w:val="28"/>
        </w:rPr>
      </w:pPr>
      <w:r w:rsidRPr="00F66BE7">
        <w:rPr>
          <w:rFonts w:ascii="Sylfaen" w:hAnsi="Sylfaen"/>
          <w:i/>
          <w:iCs/>
          <w:sz w:val="28"/>
          <w:szCs w:val="28"/>
        </w:rPr>
        <w:t xml:space="preserve">God’s protection is conveyed in a globalized world. </w:t>
      </w:r>
      <w:r w:rsidRPr="00F66BE7">
        <w:rPr>
          <w:rFonts w:ascii="Sylfaen" w:hAnsi="Sylfaen"/>
          <w:sz w:val="28"/>
          <w:szCs w:val="28"/>
        </w:rPr>
        <w:t>The positive and negative effects of globalization are debated every day in many circles. It is crystal clear that human beings are not islands anymore. The close interaction between culture, religion and ethnicity is either building bridges of dialogue and co-existence or erecting walls of separation and hatred. We are living in a world full of tensions and uncertainties. My Brotherhood is experiencing them through the threat of a dominant culture in the widespread Armenian Diaspora. Although the ethos of Armenian communities is manifested through the cultural richness of Armenian Christianity, we cannot claim that we will be able to sustain it entirely in today’s multi-faith and multi-cultural societies. The elections of Israel and the New Israel go beyond the common Judeo-Christian values that we claim or Jewish-Christian dialogue that we are engaged in. While the world is shifting from Theo-centrism to anthropo-centrism, our assertion that “God’s faithfulness is a protecting shield” leads us to the re-incarnation of Gospel values in our daily interactions with all the ‘others.’</w:t>
      </w:r>
    </w:p>
    <w:p w14:paraId="697A3B78" w14:textId="77777777" w:rsidR="000E351E" w:rsidRPr="00F66BE7" w:rsidRDefault="000E351E" w:rsidP="000E351E">
      <w:pPr>
        <w:ind w:left="360"/>
        <w:jc w:val="both"/>
        <w:rPr>
          <w:rFonts w:ascii="Sylfaen" w:hAnsi="Sylfaen"/>
          <w:iCs/>
          <w:sz w:val="28"/>
          <w:szCs w:val="28"/>
        </w:rPr>
      </w:pPr>
    </w:p>
    <w:p w14:paraId="11485E10" w14:textId="73360850" w:rsidR="000E351E" w:rsidRPr="00F66BE7" w:rsidRDefault="000E351E" w:rsidP="000E351E">
      <w:pPr>
        <w:jc w:val="both"/>
        <w:rPr>
          <w:rFonts w:ascii="Sylfaen" w:hAnsi="Sylfaen"/>
          <w:sz w:val="28"/>
          <w:szCs w:val="28"/>
        </w:rPr>
      </w:pPr>
      <w:r w:rsidRPr="00F66BE7">
        <w:rPr>
          <w:rFonts w:ascii="Sylfaen" w:hAnsi="Sylfaen"/>
          <w:sz w:val="28"/>
          <w:szCs w:val="28"/>
        </w:rPr>
        <w:t>In the Armenian context the penetration of the Gospel into Armenian life has been not a relational reality of God and ethnicity, faith and nation, Gospel and culture, but a genuine identification and inculturation in a conscious response and a faithful commitment to Christ, expressed in confessing Christ in martyria.</w:t>
      </w:r>
      <w:r w:rsidR="005A6838">
        <w:rPr>
          <w:rStyle w:val="FootnoteReference"/>
          <w:rFonts w:ascii="Sylfaen" w:hAnsi="Sylfaen"/>
          <w:sz w:val="28"/>
          <w:szCs w:val="28"/>
        </w:rPr>
        <w:footnoteReference w:id="26"/>
      </w:r>
      <w:r w:rsidRPr="00F66BE7">
        <w:rPr>
          <w:rFonts w:ascii="Sylfaen" w:hAnsi="Sylfaen"/>
          <w:sz w:val="28"/>
          <w:szCs w:val="28"/>
        </w:rPr>
        <w:t xml:space="preserve"> With this conviction Armenians protected their Christian faith and homeland against the heathen Persians in 451, and declared, echoing Romans 8:38–39: “From this faith no one can shake us, neither angels nor men; neither sword, nor fire, nor water, nor any, nor all other horrid tortures,” and: “We recognize the Holy Gospel to be our father and the Apostolic Orthodox Church our mother.”</w:t>
      </w:r>
      <w:r w:rsidR="00771019">
        <w:rPr>
          <w:rStyle w:val="FootnoteReference"/>
          <w:rFonts w:ascii="Sylfaen" w:hAnsi="Sylfaen"/>
          <w:sz w:val="28"/>
          <w:szCs w:val="28"/>
        </w:rPr>
        <w:footnoteReference w:id="27"/>
      </w:r>
      <w:r w:rsidRPr="00F66BE7">
        <w:rPr>
          <w:rFonts w:ascii="Sylfaen" w:hAnsi="Sylfaen"/>
          <w:sz w:val="28"/>
          <w:szCs w:val="28"/>
        </w:rPr>
        <w:t xml:space="preserve"> </w:t>
      </w:r>
    </w:p>
    <w:p w14:paraId="204D3BC5" w14:textId="77777777" w:rsidR="000E351E" w:rsidRPr="00F66BE7" w:rsidRDefault="000E351E" w:rsidP="000E351E">
      <w:pPr>
        <w:jc w:val="both"/>
        <w:rPr>
          <w:rFonts w:ascii="Sylfaen" w:hAnsi="Sylfaen"/>
          <w:sz w:val="28"/>
          <w:szCs w:val="28"/>
        </w:rPr>
      </w:pPr>
    </w:p>
    <w:p w14:paraId="4DFAB1A2" w14:textId="782739D4" w:rsidR="000E351E" w:rsidRPr="00F66BE7" w:rsidRDefault="000E351E" w:rsidP="000E351E">
      <w:pPr>
        <w:jc w:val="both"/>
        <w:rPr>
          <w:rFonts w:ascii="Sylfaen" w:hAnsi="Sylfaen"/>
          <w:sz w:val="28"/>
          <w:szCs w:val="28"/>
        </w:rPr>
      </w:pPr>
      <w:r w:rsidRPr="00F66BE7">
        <w:rPr>
          <w:rFonts w:ascii="Sylfaen" w:hAnsi="Sylfaen"/>
          <w:sz w:val="28"/>
          <w:szCs w:val="28"/>
        </w:rPr>
        <w:lastRenderedPageBreak/>
        <w:t>Today, the challenge we are facing as Brotherhood called to serve God through the Armenian Church is how to be able to keep this faithfulness to Gospel alive and to make it a transforming reality in bringing different cultures affecting our faithful to a creative interaction to express the universality of the Gospel as the self-revelation of God in a dialogue of humility and charity.</w:t>
      </w:r>
      <w:r w:rsidR="00771019">
        <w:rPr>
          <w:rStyle w:val="FootnoteReference"/>
          <w:rFonts w:ascii="Sylfaen" w:hAnsi="Sylfaen"/>
          <w:sz w:val="28"/>
          <w:szCs w:val="28"/>
        </w:rPr>
        <w:footnoteReference w:id="28"/>
      </w:r>
    </w:p>
    <w:p w14:paraId="257D6F1E" w14:textId="77777777" w:rsidR="000E351E" w:rsidRPr="00F66BE7" w:rsidRDefault="000E351E" w:rsidP="000E351E">
      <w:pPr>
        <w:jc w:val="both"/>
        <w:rPr>
          <w:rFonts w:ascii="Sylfaen" w:hAnsi="Sylfaen"/>
          <w:i/>
          <w:iCs/>
          <w:sz w:val="28"/>
          <w:szCs w:val="28"/>
        </w:rPr>
      </w:pPr>
    </w:p>
    <w:p w14:paraId="581C8E84" w14:textId="6C6F3AC3" w:rsidR="000E351E" w:rsidRPr="00F66BE7" w:rsidRDefault="000E351E" w:rsidP="000E351E">
      <w:pPr>
        <w:numPr>
          <w:ilvl w:val="0"/>
          <w:numId w:val="2"/>
        </w:numPr>
        <w:tabs>
          <w:tab w:val="num" w:pos="0"/>
          <w:tab w:val="left" w:pos="360"/>
        </w:tabs>
        <w:ind w:left="0" w:firstLine="0"/>
        <w:jc w:val="both"/>
        <w:rPr>
          <w:rFonts w:ascii="Sylfaen" w:hAnsi="Sylfaen"/>
          <w:sz w:val="28"/>
          <w:szCs w:val="28"/>
        </w:rPr>
      </w:pPr>
      <w:r w:rsidRPr="00F66BE7">
        <w:rPr>
          <w:rFonts w:ascii="Sylfaen" w:hAnsi="Sylfaen"/>
          <w:i/>
          <w:iCs/>
          <w:sz w:val="28"/>
          <w:szCs w:val="28"/>
        </w:rPr>
        <w:t xml:space="preserve"> Passing through the sea is a symbol of being expelled from our native lands and becoming a dispersed nation. </w:t>
      </w:r>
      <w:r w:rsidRPr="00F66BE7">
        <w:rPr>
          <w:rFonts w:ascii="Sylfaen" w:hAnsi="Sylfaen"/>
          <w:sz w:val="28"/>
          <w:szCs w:val="28"/>
        </w:rPr>
        <w:t>Armenian Diaspora is a forced reality. The 1991 independence of Armenia and the geo-political difficulties the new republic is passing through necessitates the preservation of the Armenian Diaspora. If remaining Armenian Christian continues to be the first priority of Armenian Diaspora</w:t>
      </w:r>
      <w:r w:rsidR="00A56587">
        <w:rPr>
          <w:rStyle w:val="FootnoteReference"/>
          <w:rFonts w:ascii="Sylfaen" w:hAnsi="Sylfaen"/>
          <w:sz w:val="28"/>
          <w:szCs w:val="28"/>
        </w:rPr>
        <w:footnoteReference w:id="29"/>
      </w:r>
      <w:r w:rsidR="00A56587">
        <w:rPr>
          <w:rFonts w:ascii="Sylfaen" w:hAnsi="Sylfaen"/>
          <w:sz w:val="28"/>
          <w:szCs w:val="28"/>
        </w:rPr>
        <w:t xml:space="preserve"> </w:t>
      </w:r>
      <w:r w:rsidRPr="00F66BE7">
        <w:rPr>
          <w:rFonts w:ascii="Sylfaen" w:hAnsi="Sylfaen"/>
          <w:sz w:val="28"/>
          <w:szCs w:val="28"/>
        </w:rPr>
        <w:t xml:space="preserve">and if the inter-connectedness of today’s multi-faith and multi-cultural world obliges us to be engaged in multi-lateral dialogues and friendly co-existence, the Armenians are ready to carry on their Christian witness because of the compelling endurance and creative spirit they have manifested during the most dark times of their history throughout the ages. It is rightfully said that the survival of the Armenians is a miracle! Miracles are divine responses to human faith. Armenians faced all the difficulties mounted against them with the unwavering faith that God will work the miracle of survival, carry them through the sea and grant them a better life in a new land. </w:t>
      </w:r>
    </w:p>
    <w:p w14:paraId="5A9435C5" w14:textId="77777777" w:rsidR="000E351E" w:rsidRPr="00F66BE7" w:rsidRDefault="000E351E" w:rsidP="000E351E">
      <w:pPr>
        <w:jc w:val="both"/>
        <w:rPr>
          <w:rFonts w:ascii="Sylfaen" w:hAnsi="Sylfaen"/>
          <w:sz w:val="28"/>
          <w:szCs w:val="28"/>
        </w:rPr>
      </w:pPr>
    </w:p>
    <w:p w14:paraId="02DF9BEA" w14:textId="57335D1F" w:rsidR="000E351E" w:rsidRPr="00F66BE7" w:rsidRDefault="000E351E" w:rsidP="000E351E">
      <w:pPr>
        <w:jc w:val="both"/>
        <w:rPr>
          <w:rFonts w:ascii="Sylfaen" w:hAnsi="Sylfaen"/>
          <w:sz w:val="28"/>
          <w:szCs w:val="28"/>
        </w:rPr>
      </w:pPr>
      <w:r w:rsidRPr="00F66BE7">
        <w:rPr>
          <w:rFonts w:ascii="Sylfaen" w:hAnsi="Sylfaen"/>
          <w:sz w:val="28"/>
          <w:szCs w:val="28"/>
        </w:rPr>
        <w:t xml:space="preserve">Diaspora gave multi-faceted identity to the Armenians. “Human beings have a strong need to establish identity in order to attain an abiding sense of selfhood. </w:t>
      </w:r>
      <w:r w:rsidRPr="00F66BE7">
        <w:rPr>
          <w:rFonts w:ascii="Sylfaen" w:hAnsi="Sylfaen"/>
          <w:sz w:val="28"/>
          <w:szCs w:val="28"/>
        </w:rPr>
        <w:lastRenderedPageBreak/>
        <w:t>Identity means security,”</w:t>
      </w:r>
      <w:r w:rsidR="00AF24EC">
        <w:rPr>
          <w:rStyle w:val="FootnoteReference"/>
          <w:rFonts w:ascii="Sylfaen" w:hAnsi="Sylfaen"/>
          <w:sz w:val="28"/>
          <w:szCs w:val="28"/>
        </w:rPr>
        <w:footnoteReference w:id="30"/>
      </w:r>
      <w:r w:rsidRPr="00F66BE7">
        <w:rPr>
          <w:rFonts w:ascii="Sylfaen" w:hAnsi="Sylfaen"/>
          <w:sz w:val="28"/>
          <w:szCs w:val="28"/>
        </w:rPr>
        <w:t xml:space="preserve"> writes His Holiness Catholicos Aram I, who is the son of Genocide survivors and was born and raised in Diaspora and as a spiritual and national leader of the Armenian Church carries out his numerous utmost responsibilities in the Armenian communities of the Diaspora. This security of Armenian identity is not only an inherited religio-cultural legacy but a choice of remaining Armenian Christian. And this inspiration and conviction is nurtured by the Armenian Church par excellence, because it is the dynamic presence of God, our history and our values in the collective life and longings of the community of faith to which every Armenian belongs. It is the beacon of hope for the Armenians crossing the sea to continue their various risky journeys in the Diaspora.</w:t>
      </w:r>
    </w:p>
    <w:p w14:paraId="576D0F36" w14:textId="77777777" w:rsidR="000E351E" w:rsidRPr="00F66BE7" w:rsidRDefault="000E351E" w:rsidP="000E351E">
      <w:pPr>
        <w:jc w:val="both"/>
        <w:rPr>
          <w:rFonts w:ascii="Sylfaen" w:hAnsi="Sylfaen"/>
          <w:sz w:val="28"/>
          <w:szCs w:val="28"/>
        </w:rPr>
      </w:pPr>
    </w:p>
    <w:p w14:paraId="0DED7519" w14:textId="77777777" w:rsidR="000E351E" w:rsidRPr="00F66BE7" w:rsidRDefault="000E351E" w:rsidP="000E351E">
      <w:pPr>
        <w:jc w:val="both"/>
        <w:rPr>
          <w:rFonts w:ascii="Sylfaen" w:hAnsi="Sylfaen"/>
          <w:sz w:val="28"/>
          <w:szCs w:val="28"/>
        </w:rPr>
      </w:pPr>
      <w:r w:rsidRPr="00F66BE7">
        <w:rPr>
          <w:rFonts w:ascii="Sylfaen" w:hAnsi="Sylfaen"/>
          <w:sz w:val="28"/>
          <w:szCs w:val="28"/>
        </w:rPr>
        <w:t>In maintaining the Armenian identity, the vocation of the Armenian Church is to re-Christianize our life in Armenia and in Diaspora, by making the Christian faith a living reality in the daily life of each Armenian as the messenger of the Gospel of Christ. It is called to transform this challenge into a dynamic and creative witness and into an active and conscious participation for the glory of the Kingdom of God, by securing the spiritual survival of its faithful.</w:t>
      </w:r>
    </w:p>
    <w:p w14:paraId="69B1E877" w14:textId="77777777" w:rsidR="000E351E" w:rsidRPr="00F66BE7" w:rsidRDefault="000E351E" w:rsidP="000E351E">
      <w:pPr>
        <w:jc w:val="both"/>
        <w:rPr>
          <w:rFonts w:ascii="Sylfaen" w:hAnsi="Sylfaen"/>
          <w:sz w:val="28"/>
          <w:szCs w:val="28"/>
        </w:rPr>
      </w:pPr>
    </w:p>
    <w:p w14:paraId="75592355" w14:textId="0E8B0D4C" w:rsidR="000E351E" w:rsidRPr="000B46C8" w:rsidRDefault="000E351E" w:rsidP="000B46C8">
      <w:pPr>
        <w:numPr>
          <w:ilvl w:val="0"/>
          <w:numId w:val="2"/>
        </w:numPr>
        <w:tabs>
          <w:tab w:val="num" w:pos="360"/>
        </w:tabs>
        <w:ind w:left="0" w:firstLine="0"/>
        <w:jc w:val="both"/>
        <w:rPr>
          <w:rFonts w:ascii="Sylfaen" w:hAnsi="Sylfaen"/>
          <w:sz w:val="28"/>
          <w:szCs w:val="28"/>
        </w:rPr>
      </w:pPr>
      <w:r w:rsidRPr="00F66BE7">
        <w:rPr>
          <w:rFonts w:ascii="Sylfaen" w:hAnsi="Sylfaen"/>
          <w:i/>
          <w:iCs/>
          <w:sz w:val="28"/>
          <w:szCs w:val="28"/>
        </w:rPr>
        <w:t>Being baptized and eating the same spiritual food and drinking the same spiritual</w:t>
      </w:r>
      <w:r w:rsidRPr="00F66BE7">
        <w:rPr>
          <w:rFonts w:ascii="Sylfaen" w:hAnsi="Sylfaen"/>
          <w:sz w:val="28"/>
          <w:szCs w:val="28"/>
        </w:rPr>
        <w:t xml:space="preserve"> </w:t>
      </w:r>
      <w:r w:rsidRPr="00F66BE7">
        <w:rPr>
          <w:rFonts w:ascii="Sylfaen" w:hAnsi="Sylfaen"/>
          <w:i/>
          <w:iCs/>
          <w:sz w:val="28"/>
          <w:szCs w:val="28"/>
        </w:rPr>
        <w:t>drink are the expressions of belonging to the church ––</w:t>
      </w:r>
      <w:r w:rsidRPr="00F66BE7">
        <w:rPr>
          <w:rFonts w:ascii="Sylfaen" w:hAnsi="Sylfaen"/>
          <w:sz w:val="28"/>
          <w:szCs w:val="28"/>
        </w:rPr>
        <w:t xml:space="preserve"> </w:t>
      </w:r>
      <w:r w:rsidRPr="00F66BE7">
        <w:rPr>
          <w:rFonts w:ascii="Sylfaen" w:hAnsi="Sylfaen"/>
          <w:i/>
          <w:iCs/>
          <w:sz w:val="28"/>
          <w:szCs w:val="28"/>
        </w:rPr>
        <w:t>the sacramental community of Jesus Christ.</w:t>
      </w:r>
      <w:r w:rsidRPr="00F66BE7">
        <w:rPr>
          <w:rFonts w:ascii="Sylfaen" w:hAnsi="Sylfaen"/>
          <w:sz w:val="28"/>
          <w:szCs w:val="28"/>
        </w:rPr>
        <w:t xml:space="preserve"> The church is not an organization whose membership we apply; it is the mystical body of Christ whose integral members we are. The sacramental character of a church does not depend on how many sacraments it has or how it administers them. All churches are sacramental by their nature and calling.</w:t>
      </w:r>
      <w:r w:rsidR="00D47585">
        <w:rPr>
          <w:rStyle w:val="FootnoteReference"/>
          <w:rFonts w:ascii="Sylfaen" w:hAnsi="Sylfaen"/>
          <w:sz w:val="28"/>
          <w:szCs w:val="28"/>
        </w:rPr>
        <w:footnoteReference w:id="31"/>
      </w:r>
      <w:r w:rsidR="000D6D98">
        <w:rPr>
          <w:rFonts w:ascii="Sylfaen" w:hAnsi="Sylfaen"/>
          <w:sz w:val="28"/>
          <w:szCs w:val="28"/>
        </w:rPr>
        <w:t xml:space="preserve"> </w:t>
      </w:r>
      <w:r w:rsidRPr="00F66BE7">
        <w:rPr>
          <w:rFonts w:ascii="Sylfaen" w:hAnsi="Sylfaen"/>
          <w:sz w:val="28"/>
          <w:szCs w:val="28"/>
        </w:rPr>
        <w:t xml:space="preserve">Therefore, sacraments are the sources of nourishment for the unwrapping of the divine mysteries in the daily lives of the faithful. Genuine Christians are identified by the Lord whom they serve and by the church with whom they are incorporated. Authentic Armenian Christians live out their faith and manifest their identity by their integration in the life and service of their church, reflected especially through their baptismal rebirth and purification and eucharistic partaking and fellowship. </w:t>
      </w:r>
    </w:p>
    <w:p w14:paraId="77AD5761" w14:textId="77777777" w:rsidR="000E351E" w:rsidRPr="00F66BE7" w:rsidRDefault="000E351E" w:rsidP="000E351E">
      <w:pPr>
        <w:pStyle w:val="FootnoteText"/>
        <w:jc w:val="both"/>
        <w:rPr>
          <w:rFonts w:ascii="Sylfaen" w:hAnsi="Sylfaen"/>
          <w:sz w:val="28"/>
          <w:szCs w:val="28"/>
        </w:rPr>
      </w:pPr>
      <w:r w:rsidRPr="00F66BE7">
        <w:rPr>
          <w:rFonts w:ascii="Sylfaen" w:hAnsi="Sylfaen"/>
          <w:sz w:val="28"/>
          <w:szCs w:val="28"/>
        </w:rPr>
        <w:lastRenderedPageBreak/>
        <w:t xml:space="preserve">The centrality of baptism and eucharist in the life of the Armenian Christians obliges us to transcend the liturgical expressions and institutional confines of the Christian faith and make it a process of spiritual revitalization and enrichment. In this sense, the offering of an infant to baptism in the font and the offering of bread and wine on the holy table of the Armenian Church symbolize the self-dedication of the church to God. The same infant becomes a new creature when God makes him/her his child and the same bread and wine become a gift of spiritual and eternal food from God when he transforms them into the body and blood of his Son. </w:t>
      </w:r>
    </w:p>
    <w:p w14:paraId="4FFE2CD5" w14:textId="77777777" w:rsidR="000E351E" w:rsidRPr="00F66BE7" w:rsidRDefault="000E351E" w:rsidP="000E351E">
      <w:pPr>
        <w:pStyle w:val="FootnoteText"/>
        <w:jc w:val="both"/>
        <w:rPr>
          <w:rFonts w:ascii="Sylfaen" w:hAnsi="Sylfaen"/>
          <w:sz w:val="28"/>
          <w:szCs w:val="28"/>
        </w:rPr>
      </w:pPr>
    </w:p>
    <w:p w14:paraId="650AC650" w14:textId="77777777" w:rsidR="000E351E" w:rsidRPr="00F66BE7" w:rsidRDefault="000E351E" w:rsidP="000E351E">
      <w:pPr>
        <w:pStyle w:val="FootnoteText"/>
        <w:jc w:val="both"/>
        <w:rPr>
          <w:rFonts w:ascii="Sylfaen" w:hAnsi="Sylfaen"/>
          <w:sz w:val="28"/>
          <w:szCs w:val="28"/>
        </w:rPr>
      </w:pPr>
      <w:r w:rsidRPr="00F66BE7">
        <w:rPr>
          <w:rFonts w:ascii="Sylfaen" w:hAnsi="Sylfaen"/>
          <w:sz w:val="28"/>
          <w:szCs w:val="28"/>
        </w:rPr>
        <w:t xml:space="preserve">This reality is expressed and its interconnectedness is reflected in the liturgy of the Armenian Church illustrated by this couple of quotations from the sacraments of baptism and holy eucharist: </w:t>
      </w:r>
    </w:p>
    <w:p w14:paraId="6966CA38" w14:textId="77777777" w:rsidR="000E351E" w:rsidRPr="00F66BE7" w:rsidRDefault="000E351E" w:rsidP="000E351E">
      <w:pPr>
        <w:pStyle w:val="FootnoteText"/>
        <w:jc w:val="both"/>
        <w:rPr>
          <w:rFonts w:ascii="Sylfaen" w:hAnsi="Sylfaen"/>
          <w:sz w:val="28"/>
          <w:szCs w:val="28"/>
        </w:rPr>
      </w:pPr>
    </w:p>
    <w:p w14:paraId="2768BA69" w14:textId="0E317829" w:rsidR="000E351E" w:rsidRPr="00F66BE7" w:rsidRDefault="000E351E" w:rsidP="000E351E">
      <w:pPr>
        <w:pStyle w:val="FootnoteText"/>
        <w:numPr>
          <w:ilvl w:val="0"/>
          <w:numId w:val="1"/>
        </w:numPr>
        <w:tabs>
          <w:tab w:val="clear" w:pos="720"/>
          <w:tab w:val="num" w:pos="360"/>
        </w:tabs>
        <w:ind w:left="0" w:firstLine="0"/>
        <w:jc w:val="both"/>
        <w:rPr>
          <w:rFonts w:ascii="Sylfaen" w:hAnsi="Sylfaen"/>
          <w:sz w:val="28"/>
          <w:szCs w:val="28"/>
        </w:rPr>
      </w:pPr>
      <w:r w:rsidRPr="00F66BE7">
        <w:rPr>
          <w:rFonts w:ascii="Sylfaen" w:hAnsi="Sylfaen"/>
          <w:sz w:val="28"/>
          <w:szCs w:val="28"/>
        </w:rPr>
        <w:t>In the front of the baptismal font, the priest prays for the infant to God the Father: “Fill him/her with the power of the Holy Spirit so that he/she may have the renewal of the glory of your Christ,” and then immerses the infant three times into the water, saying: “(</w:t>
      </w:r>
      <w:r w:rsidRPr="00F66BE7">
        <w:rPr>
          <w:rFonts w:ascii="Sylfaen" w:hAnsi="Sylfaen"/>
          <w:i/>
          <w:iCs/>
          <w:sz w:val="28"/>
          <w:szCs w:val="28"/>
        </w:rPr>
        <w:t>Name</w:t>
      </w:r>
      <w:r w:rsidRPr="00F66BE7">
        <w:rPr>
          <w:rFonts w:ascii="Sylfaen" w:hAnsi="Sylfaen"/>
          <w:sz w:val="28"/>
          <w:szCs w:val="28"/>
        </w:rPr>
        <w:t>) servant of God, coming from the state of catechumen to baptism, is now being baptized in the name of the Father and of the Son and of the Holy Spirit. Redeemed by the blood of Christ from the servitude of sin, he/she becomes an adopted child of the heavenly Father, a coheir with Christ and a temple of the Holy Spirit.”</w:t>
      </w:r>
      <w:r w:rsidR="000D6D98">
        <w:rPr>
          <w:rStyle w:val="FootnoteReference"/>
          <w:rFonts w:ascii="Sylfaen" w:hAnsi="Sylfaen"/>
          <w:sz w:val="28"/>
          <w:szCs w:val="28"/>
        </w:rPr>
        <w:footnoteReference w:id="32"/>
      </w:r>
      <w:r w:rsidRPr="00F66BE7">
        <w:rPr>
          <w:rFonts w:ascii="Sylfaen" w:hAnsi="Sylfaen"/>
          <w:i/>
          <w:iCs/>
          <w:sz w:val="24"/>
        </w:rPr>
        <w:t xml:space="preserve"> </w:t>
      </w:r>
    </w:p>
    <w:p w14:paraId="77C40F7B" w14:textId="77777777" w:rsidR="000E351E" w:rsidRPr="00F66BE7" w:rsidRDefault="000E351E" w:rsidP="000E351E">
      <w:pPr>
        <w:pStyle w:val="FootnoteText"/>
        <w:jc w:val="both"/>
        <w:rPr>
          <w:rFonts w:ascii="Sylfaen" w:hAnsi="Sylfaen"/>
          <w:sz w:val="28"/>
          <w:szCs w:val="28"/>
        </w:rPr>
      </w:pPr>
    </w:p>
    <w:p w14:paraId="3792CA82" w14:textId="29A4D181" w:rsidR="000E351E" w:rsidRPr="00F66BE7" w:rsidRDefault="000E351E" w:rsidP="000E351E">
      <w:pPr>
        <w:pStyle w:val="FootnoteText"/>
        <w:numPr>
          <w:ilvl w:val="0"/>
          <w:numId w:val="1"/>
        </w:numPr>
        <w:tabs>
          <w:tab w:val="clear" w:pos="720"/>
          <w:tab w:val="num" w:pos="360"/>
        </w:tabs>
        <w:ind w:left="0" w:firstLine="0"/>
        <w:jc w:val="both"/>
        <w:rPr>
          <w:rFonts w:ascii="Sylfaen" w:hAnsi="Sylfaen"/>
          <w:sz w:val="28"/>
          <w:szCs w:val="28"/>
        </w:rPr>
      </w:pPr>
      <w:r w:rsidRPr="00F66BE7">
        <w:rPr>
          <w:rFonts w:ascii="Sylfaen" w:hAnsi="Sylfaen"/>
          <w:sz w:val="28"/>
          <w:szCs w:val="28"/>
        </w:rPr>
        <w:t>During the celebration of the holy eucharist,</w:t>
      </w:r>
      <w:r w:rsidR="00A93792">
        <w:rPr>
          <w:rStyle w:val="FootnoteReference"/>
          <w:rFonts w:ascii="Sylfaen" w:hAnsi="Sylfaen"/>
          <w:sz w:val="28"/>
          <w:szCs w:val="28"/>
        </w:rPr>
        <w:footnoteReference w:id="33"/>
      </w:r>
      <w:r w:rsidRPr="00F66BE7">
        <w:rPr>
          <w:rFonts w:ascii="Sylfaen" w:hAnsi="Sylfaen"/>
          <w:sz w:val="28"/>
          <w:szCs w:val="28"/>
        </w:rPr>
        <w:t xml:space="preserve"> the priest says the prayer of St. John Chrysostom: “Be mindful as the beneficent one, and the lover of mankind, both of those who offer it and of those from whom it is offered and keep us without condemnation in the priestly service of your divine mysteries,” (10) and then he prays: “Make us also, Lord, we beseech you, sharers in your divine gifts, in the forgiveness of sins and in the reception of the Holy Spirit” (21); “For you offer and you yourself are offered and you receive and you give, O Christ our God; and we give glory to you, together with your eternal Father and the most </w:t>
      </w:r>
      <w:r w:rsidRPr="00F66BE7">
        <w:rPr>
          <w:rFonts w:ascii="Sylfaen" w:hAnsi="Sylfaen"/>
          <w:sz w:val="28"/>
          <w:szCs w:val="28"/>
        </w:rPr>
        <w:lastRenderedPageBreak/>
        <w:t>holy and beneficent Spirit, now and always and unto the ages of ages. Amen” (25); “And we offer to you yours of your own from all and for all</w:t>
      </w:r>
      <w:r w:rsidR="008B7308">
        <w:rPr>
          <w:rFonts w:ascii="Sylfaen" w:hAnsi="Sylfaen"/>
          <w:sz w:val="28"/>
          <w:szCs w:val="28"/>
        </w:rPr>
        <w:t>.</w:t>
      </w:r>
      <w:r w:rsidRPr="00F66BE7">
        <w:rPr>
          <w:rFonts w:ascii="Sylfaen" w:hAnsi="Sylfaen"/>
          <w:sz w:val="28"/>
          <w:szCs w:val="28"/>
        </w:rPr>
        <w:t xml:space="preserve">” </w:t>
      </w:r>
    </w:p>
    <w:p w14:paraId="156FBB90" w14:textId="77777777" w:rsidR="000E351E" w:rsidRPr="00F66BE7" w:rsidRDefault="000E351E" w:rsidP="000E351E">
      <w:pPr>
        <w:pStyle w:val="FootnoteText"/>
        <w:jc w:val="both"/>
        <w:rPr>
          <w:rFonts w:ascii="Sylfaen" w:hAnsi="Sylfaen"/>
          <w:sz w:val="28"/>
          <w:szCs w:val="28"/>
        </w:rPr>
      </w:pPr>
    </w:p>
    <w:p w14:paraId="7A7B5116" w14:textId="77777777" w:rsidR="000E351E" w:rsidRPr="00F66BE7" w:rsidRDefault="000E351E" w:rsidP="000E351E">
      <w:pPr>
        <w:pStyle w:val="FootnoteText"/>
        <w:numPr>
          <w:ilvl w:val="0"/>
          <w:numId w:val="1"/>
        </w:numPr>
        <w:tabs>
          <w:tab w:val="clear" w:pos="720"/>
          <w:tab w:val="num" w:pos="360"/>
        </w:tabs>
        <w:ind w:left="0" w:firstLine="0"/>
        <w:jc w:val="both"/>
        <w:rPr>
          <w:rFonts w:ascii="Sylfaen" w:hAnsi="Sylfaen"/>
          <w:sz w:val="28"/>
          <w:szCs w:val="28"/>
        </w:rPr>
      </w:pPr>
      <w:r w:rsidRPr="00F66BE7">
        <w:rPr>
          <w:rFonts w:ascii="Sylfaen" w:hAnsi="Sylfaen"/>
          <w:sz w:val="28"/>
          <w:szCs w:val="28"/>
        </w:rPr>
        <w:t>Our becoming the church and being fed by the eucharistic food is summed up in this statement, which we find before the Epiclesis and we can consider it also an excellent Trinitarian hypothesis and an ecumenical testimonial: “The greatest mystery of the Christian faith is that the one God and Father shares his divinity with his Only-begotten Son, Jesus Christ, and with his Holy Spirit, three persons united in one God. At this point in the Eucharist the priest calls on God the Father to send his Holy Spirit upon all of the assembled faithful and on the gifts of bread and wine, to make them truly the Body and Blood of our Lord Jesus Christ. This is our ultimate desire and prayer, that in this Eucharist the Holy Spirit will unite all the faithful together with each other and with Christ by way of his Body and Blood so that we will truly come to constitute the Church in its fullest sense” (33).</w:t>
      </w:r>
    </w:p>
    <w:p w14:paraId="67E2A7A9" w14:textId="77777777" w:rsidR="000E351E" w:rsidRPr="00F66BE7" w:rsidRDefault="000E351E" w:rsidP="000E351E">
      <w:pPr>
        <w:pStyle w:val="FootnoteText"/>
        <w:jc w:val="both"/>
        <w:rPr>
          <w:rFonts w:ascii="Sylfaen" w:hAnsi="Sylfaen"/>
          <w:sz w:val="28"/>
          <w:szCs w:val="28"/>
        </w:rPr>
      </w:pPr>
    </w:p>
    <w:p w14:paraId="7D46E32B" w14:textId="77777777" w:rsidR="000E351E" w:rsidRPr="00F66BE7" w:rsidRDefault="000E351E" w:rsidP="000E351E">
      <w:pPr>
        <w:pStyle w:val="FootnoteText"/>
        <w:numPr>
          <w:ilvl w:val="0"/>
          <w:numId w:val="1"/>
        </w:numPr>
        <w:tabs>
          <w:tab w:val="clear" w:pos="720"/>
          <w:tab w:val="num" w:pos="360"/>
        </w:tabs>
        <w:ind w:left="0" w:firstLine="0"/>
        <w:jc w:val="both"/>
        <w:rPr>
          <w:rFonts w:ascii="Sylfaen" w:hAnsi="Sylfaen"/>
          <w:sz w:val="28"/>
          <w:szCs w:val="28"/>
        </w:rPr>
      </w:pPr>
      <w:r w:rsidRPr="00F66BE7">
        <w:rPr>
          <w:rFonts w:ascii="Sylfaen" w:hAnsi="Sylfaen"/>
          <w:sz w:val="28"/>
          <w:szCs w:val="28"/>
        </w:rPr>
        <w:t>Breaking the Body and putting it into the chalice of the Blood, the priest prays: “Holy Father, you who have called us by the name of your Only-begotten and have enlightened us through the baptism of the spiritual font, make us worthy to receive this holy mystery for the remission of our sins. Impress upon us the graces of your Holy Spirit, as you did upon the holy apostles, who tasted it and became the cleansers of the whole world” (46).</w:t>
      </w:r>
    </w:p>
    <w:p w14:paraId="2385F497" w14:textId="77777777" w:rsidR="000E351E" w:rsidRPr="00F66BE7" w:rsidRDefault="000E351E" w:rsidP="000E351E">
      <w:pPr>
        <w:pStyle w:val="FootnoteText"/>
        <w:jc w:val="both"/>
        <w:rPr>
          <w:rFonts w:ascii="Sylfaen" w:hAnsi="Sylfaen"/>
          <w:sz w:val="28"/>
          <w:szCs w:val="28"/>
        </w:rPr>
      </w:pPr>
    </w:p>
    <w:p w14:paraId="65050405" w14:textId="3F55551F" w:rsidR="000E351E" w:rsidRPr="00F66BE7" w:rsidRDefault="000E351E" w:rsidP="000E351E">
      <w:pPr>
        <w:pStyle w:val="FootnoteText"/>
        <w:numPr>
          <w:ilvl w:val="0"/>
          <w:numId w:val="1"/>
        </w:numPr>
        <w:tabs>
          <w:tab w:val="clear" w:pos="720"/>
          <w:tab w:val="num" w:pos="360"/>
        </w:tabs>
        <w:ind w:left="0" w:firstLine="0"/>
        <w:jc w:val="both"/>
        <w:rPr>
          <w:rFonts w:ascii="Sylfaen" w:hAnsi="Sylfaen"/>
          <w:sz w:val="28"/>
          <w:szCs w:val="28"/>
        </w:rPr>
      </w:pPr>
      <w:r w:rsidRPr="00F66BE7">
        <w:rPr>
          <w:rFonts w:ascii="Sylfaen" w:hAnsi="Sylfaen"/>
          <w:sz w:val="28"/>
          <w:szCs w:val="28"/>
        </w:rPr>
        <w:t>Finally, after the distribution of the holy communion, the choir sings, in a spirit of thanksgiving,</w:t>
      </w:r>
      <w:r w:rsidR="008B7308">
        <w:rPr>
          <w:rStyle w:val="FootnoteReference"/>
          <w:rFonts w:ascii="Sylfaen" w:hAnsi="Sylfaen"/>
          <w:sz w:val="28"/>
          <w:szCs w:val="28"/>
        </w:rPr>
        <w:footnoteReference w:id="34"/>
      </w:r>
      <w:r w:rsidRPr="00F66BE7">
        <w:rPr>
          <w:rFonts w:ascii="Sylfaen" w:hAnsi="Sylfaen"/>
          <w:sz w:val="28"/>
          <w:szCs w:val="28"/>
        </w:rPr>
        <w:t xml:space="preserve"> on behalf of the faithful: “We have been filled with your good things, O Lord, by tasting of your Body and Blood. Glory in the highest to you who have fed us. You who continually feed us, send down upon us your spiritual blessing” (51). “We give thanks to you, Lord, who have fed us at your table of immortal life; distributing your Body and your Blood for the salvation of the world and for life to our souls” (51).</w:t>
      </w:r>
    </w:p>
    <w:p w14:paraId="0C781261" w14:textId="77777777" w:rsidR="000E351E" w:rsidRPr="00F66BE7" w:rsidRDefault="000E351E" w:rsidP="000E351E">
      <w:pPr>
        <w:pStyle w:val="FootnoteText"/>
        <w:jc w:val="both"/>
        <w:rPr>
          <w:rFonts w:ascii="Sylfaen" w:hAnsi="Sylfaen"/>
          <w:sz w:val="28"/>
          <w:szCs w:val="28"/>
        </w:rPr>
      </w:pPr>
    </w:p>
    <w:p w14:paraId="7565CF8D" w14:textId="1D5BC984" w:rsidR="000E351E" w:rsidRPr="00F66BE7" w:rsidRDefault="000E351E" w:rsidP="000E351E">
      <w:pPr>
        <w:numPr>
          <w:ilvl w:val="0"/>
          <w:numId w:val="2"/>
        </w:numPr>
        <w:tabs>
          <w:tab w:val="num" w:pos="360"/>
          <w:tab w:val="left" w:pos="8640"/>
        </w:tabs>
        <w:ind w:left="0" w:firstLine="0"/>
        <w:jc w:val="both"/>
        <w:rPr>
          <w:rFonts w:ascii="Sylfaen" w:hAnsi="Sylfaen"/>
          <w:i/>
          <w:iCs/>
          <w:sz w:val="28"/>
          <w:szCs w:val="28"/>
        </w:rPr>
      </w:pPr>
      <w:r w:rsidRPr="00F66BE7">
        <w:rPr>
          <w:rFonts w:ascii="Sylfaen" w:hAnsi="Sylfaen"/>
          <w:i/>
          <w:iCs/>
          <w:sz w:val="28"/>
          <w:szCs w:val="28"/>
        </w:rPr>
        <w:t>Unceasingly eating and drinking from Christ, the spiritual rock, who follows us, is eucharist in continuation.</w:t>
      </w:r>
      <w:r w:rsidRPr="00F66BE7">
        <w:rPr>
          <w:rFonts w:ascii="Sylfaen" w:hAnsi="Sylfaen"/>
          <w:sz w:val="28"/>
          <w:szCs w:val="28"/>
        </w:rPr>
        <w:t xml:space="preserve"> </w:t>
      </w:r>
      <w:r w:rsidRPr="00F66BE7">
        <w:rPr>
          <w:rFonts w:ascii="Sylfaen" w:hAnsi="Sylfaen"/>
          <w:i/>
          <w:iCs/>
          <w:sz w:val="28"/>
          <w:szCs w:val="28"/>
        </w:rPr>
        <w:t xml:space="preserve">It is centered in Christ as the Christ-event in </w:t>
      </w:r>
      <w:r w:rsidRPr="00F66BE7">
        <w:rPr>
          <w:rFonts w:ascii="Sylfaen" w:hAnsi="Sylfaen"/>
          <w:i/>
          <w:iCs/>
          <w:sz w:val="28"/>
          <w:szCs w:val="28"/>
        </w:rPr>
        <w:lastRenderedPageBreak/>
        <w:t xml:space="preserve">continuum. </w:t>
      </w:r>
      <w:r w:rsidRPr="00F66BE7">
        <w:rPr>
          <w:rFonts w:ascii="Sylfaen" w:hAnsi="Sylfaen"/>
          <w:sz w:val="28"/>
          <w:szCs w:val="28"/>
        </w:rPr>
        <w:t>The church is a community of faith founded on Christ; its being is rooted in Christ. On the very person of Christ our Christian faith is instituted like on a solid rock. The life and witness of the church are conditioned and sustained by the living and life-generating faith in Christ. The liturgy in general and eucharist in particular constitutes and expresses the church.</w:t>
      </w:r>
      <w:r w:rsidR="006A3A86">
        <w:rPr>
          <w:rStyle w:val="FootnoteReference"/>
          <w:rFonts w:ascii="Sylfaen" w:hAnsi="Sylfaen"/>
          <w:sz w:val="28"/>
          <w:szCs w:val="28"/>
        </w:rPr>
        <w:footnoteReference w:id="35"/>
      </w:r>
      <w:r w:rsidR="00037BE4">
        <w:rPr>
          <w:rFonts w:ascii="Sylfaen" w:hAnsi="Sylfaen"/>
          <w:sz w:val="28"/>
          <w:szCs w:val="28"/>
        </w:rPr>
        <w:t xml:space="preserve"> </w:t>
      </w:r>
      <w:r w:rsidRPr="00F66BE7">
        <w:rPr>
          <w:rFonts w:ascii="Sylfaen" w:hAnsi="Sylfaen"/>
          <w:sz w:val="28"/>
          <w:szCs w:val="28"/>
        </w:rPr>
        <w:t xml:space="preserve">The church, by its very calling, is a </w:t>
      </w:r>
      <w:r w:rsidRPr="00F66BE7">
        <w:rPr>
          <w:rFonts w:ascii="Sylfaen" w:hAnsi="Sylfaen"/>
          <w:i/>
          <w:iCs/>
          <w:sz w:val="28"/>
          <w:szCs w:val="28"/>
        </w:rPr>
        <w:t>leitourgia</w:t>
      </w:r>
      <w:r w:rsidRPr="00F66BE7">
        <w:rPr>
          <w:rFonts w:ascii="Sylfaen" w:hAnsi="Sylfaen"/>
          <w:sz w:val="28"/>
          <w:szCs w:val="28"/>
        </w:rPr>
        <w:t>, a ministry to act in the world to bring transformation of hearts and to contribute to the realization of the social justice (Matt 6:33). The eucharist is the communion of the church in the life and fellowship of the Holy Trinity. Sharing the holy communion implies sharing our material and spiritual gifts with our neighbors especially in solidarity with the suffering, needy and marginalized (cf. John 13:29; Acts 6:1f; Rom 15:26; 2 Cor 8:4) as an inclusive community.</w:t>
      </w:r>
      <w:r w:rsidR="00037BE4">
        <w:rPr>
          <w:rStyle w:val="FootnoteReference"/>
          <w:rFonts w:ascii="Sylfaen" w:hAnsi="Sylfaen"/>
          <w:sz w:val="28"/>
          <w:szCs w:val="28"/>
        </w:rPr>
        <w:footnoteReference w:id="36"/>
      </w:r>
      <w:r w:rsidR="00B90394">
        <w:rPr>
          <w:rFonts w:ascii="Sylfaen" w:hAnsi="Sylfaen"/>
          <w:sz w:val="28"/>
          <w:szCs w:val="28"/>
        </w:rPr>
        <w:t xml:space="preserve"> </w:t>
      </w:r>
      <w:r w:rsidRPr="00F66BE7">
        <w:rPr>
          <w:rFonts w:ascii="Sylfaen" w:hAnsi="Sylfaen"/>
          <w:sz w:val="28"/>
          <w:szCs w:val="28"/>
        </w:rPr>
        <w:t>This constitutes ‘liturgy after liturgy,’ expressed in the diakonical calling of the community of faith.</w:t>
      </w:r>
    </w:p>
    <w:p w14:paraId="5DD85CE4" w14:textId="77777777" w:rsidR="000E351E" w:rsidRPr="00F66BE7" w:rsidRDefault="000E351E" w:rsidP="000E351E">
      <w:pPr>
        <w:tabs>
          <w:tab w:val="left" w:pos="8640"/>
        </w:tabs>
        <w:jc w:val="both"/>
        <w:rPr>
          <w:rFonts w:ascii="Sylfaen" w:hAnsi="Sylfaen"/>
          <w:sz w:val="28"/>
          <w:szCs w:val="28"/>
        </w:rPr>
      </w:pPr>
    </w:p>
    <w:p w14:paraId="50707CA8" w14:textId="77777777" w:rsidR="000E351E" w:rsidRPr="00F66BE7" w:rsidRDefault="000E351E" w:rsidP="000E351E">
      <w:pPr>
        <w:tabs>
          <w:tab w:val="left" w:pos="8640"/>
        </w:tabs>
        <w:jc w:val="both"/>
        <w:rPr>
          <w:rFonts w:ascii="Sylfaen" w:hAnsi="Sylfaen"/>
          <w:sz w:val="28"/>
          <w:szCs w:val="28"/>
        </w:rPr>
      </w:pPr>
      <w:r w:rsidRPr="00F66BE7">
        <w:rPr>
          <w:rFonts w:ascii="Sylfaen" w:hAnsi="Sylfaen"/>
          <w:sz w:val="28"/>
          <w:szCs w:val="28"/>
        </w:rPr>
        <w:t xml:space="preserve">Responding to the several needs of the Armenian faithful, the source of empowerment for my Brotherhood is the role model of Jesus Christ as the par excellence suffering servant and servant leader. Christ’s paradigm of empowering and delegating the apostles to fulfill his mission until his second coming is a prime example of this service and leadership in the coordination of our talents and efforts to live, serve and grow together in an environment of mutual respect and affection in striving to imitate Christ-like humility of love and care. This is achieved through the common life of Christian love nurtured by daily collective prayer and sustained by biblical values for the building up the community through spirituality and social service. Continued enrichment by the ever-presence of Christ enables us to become his messengers in word and deed, in </w:t>
      </w:r>
      <w:r w:rsidRPr="00F66BE7">
        <w:rPr>
          <w:rFonts w:ascii="Sylfaen" w:hAnsi="Sylfaen"/>
          <w:sz w:val="28"/>
          <w:szCs w:val="28"/>
        </w:rPr>
        <w:lastRenderedPageBreak/>
        <w:t>discipleship and ministry. This spirituality in action is articulated through the life of prayer and contemplation in the monastery and through dynamic participation in God’s mission in the world.</w:t>
      </w:r>
    </w:p>
    <w:p w14:paraId="066B0D1B" w14:textId="77777777" w:rsidR="000E351E" w:rsidRPr="00F66BE7" w:rsidRDefault="000E351E" w:rsidP="000E351E">
      <w:pPr>
        <w:tabs>
          <w:tab w:val="left" w:pos="8640"/>
        </w:tabs>
        <w:jc w:val="both"/>
        <w:rPr>
          <w:rFonts w:ascii="Sylfaen" w:hAnsi="Sylfaen"/>
          <w:sz w:val="28"/>
          <w:szCs w:val="28"/>
        </w:rPr>
      </w:pPr>
    </w:p>
    <w:p w14:paraId="53E270A4" w14:textId="4A4E7BCF" w:rsidR="000E351E" w:rsidRPr="00F66BE7" w:rsidRDefault="000E351E" w:rsidP="000E351E">
      <w:pPr>
        <w:jc w:val="both"/>
        <w:rPr>
          <w:rFonts w:ascii="Sylfaen" w:hAnsi="Sylfaen"/>
          <w:sz w:val="28"/>
          <w:szCs w:val="28"/>
        </w:rPr>
      </w:pPr>
      <w:r w:rsidRPr="00F66BE7">
        <w:rPr>
          <w:rFonts w:ascii="Sylfaen" w:hAnsi="Sylfaen"/>
          <w:sz w:val="28"/>
          <w:szCs w:val="28"/>
        </w:rPr>
        <w:t>The Church is called to continue to confess Christ under the guidance of the Holy Spirit until he returns. We are constantly reminded of this eschatological reality in the narratives of the institution of the holy eucharist (Luke 22:19; 1 Cor 11:24 –26) and are encouraged by Paul to fulfill this mission until consummation (Rom 14:17; 1 Thes 2:12) in imitating the apostles (Acts 4:31; Gal 6:2), with firm conviction, that “Confessing Christ today in whatever form or way may it be done is primarily an act of gratitude for God’s supreme and gratuitous gift of life and His liberating presence in our individual and as well as corporate life. It is self-commitment to the Triune God in utter trust, confidence and love. …Confessing Christ today is, indeed, a costly discipleship”</w:t>
      </w:r>
      <w:r w:rsidR="00B90394">
        <w:rPr>
          <w:rStyle w:val="FootnoteReference"/>
          <w:rFonts w:ascii="Sylfaen" w:hAnsi="Sylfaen"/>
          <w:sz w:val="28"/>
          <w:szCs w:val="28"/>
        </w:rPr>
        <w:footnoteReference w:id="37"/>
      </w:r>
      <w:r w:rsidRPr="00F66BE7">
        <w:rPr>
          <w:rFonts w:ascii="Sylfaen" w:hAnsi="Sylfaen"/>
          <w:sz w:val="28"/>
          <w:szCs w:val="28"/>
        </w:rPr>
        <w:t xml:space="preserve"> </w:t>
      </w:r>
    </w:p>
    <w:p w14:paraId="31082762" w14:textId="77777777" w:rsidR="000E351E" w:rsidRPr="00F66BE7" w:rsidRDefault="000E351E" w:rsidP="000E351E">
      <w:pPr>
        <w:jc w:val="both"/>
        <w:rPr>
          <w:rFonts w:ascii="Sylfaen" w:hAnsi="Sylfaen"/>
          <w:sz w:val="28"/>
          <w:szCs w:val="28"/>
        </w:rPr>
      </w:pPr>
    </w:p>
    <w:p w14:paraId="20DBB258" w14:textId="287E3195" w:rsidR="000E351E" w:rsidRPr="00F66BE7" w:rsidRDefault="000E351E" w:rsidP="000E351E">
      <w:pPr>
        <w:jc w:val="both"/>
        <w:rPr>
          <w:rFonts w:ascii="Sylfaen" w:hAnsi="Sylfaen"/>
          <w:sz w:val="28"/>
          <w:szCs w:val="28"/>
        </w:rPr>
      </w:pPr>
      <w:r w:rsidRPr="00F66BE7">
        <w:rPr>
          <w:rFonts w:ascii="Sylfaen" w:hAnsi="Sylfaen"/>
          <w:sz w:val="28"/>
          <w:szCs w:val="28"/>
        </w:rPr>
        <w:t xml:space="preserve">1 Corinthians 10:1–4 bring us the confidence that we are under God’s protection, who supplies our daily spiritual food and drink in Christ. But, just one verse ahead, 1 Corinthians 10:5, </w:t>
      </w:r>
      <w:r w:rsidRPr="00F66BE7">
        <w:rPr>
          <w:rFonts w:ascii="Sylfaen" w:hAnsi="Sylfaen"/>
          <w:i/>
          <w:iCs/>
          <w:sz w:val="28"/>
          <w:szCs w:val="28"/>
        </w:rPr>
        <w:t>“Yet God was not pleased with the most of them, for they were struck down in the desert,”</w:t>
      </w:r>
      <w:r w:rsidRPr="00F66BE7">
        <w:rPr>
          <w:rFonts w:ascii="Sylfaen" w:hAnsi="Sylfaen"/>
          <w:sz w:val="28"/>
          <w:szCs w:val="28"/>
        </w:rPr>
        <w:t xml:space="preserve"> conveys to us an applicable warning: “Paul interprets the exodus to teach that baptism and the eucharist do not protect Christians from the dangers of idolatry. The Corinthians dare not presume on God’s grace while participating in worship services honoring idols at pagan temples,”</w:t>
      </w:r>
      <w:r w:rsidR="00975E67">
        <w:rPr>
          <w:rStyle w:val="FootnoteReference"/>
          <w:rFonts w:ascii="Sylfaen" w:hAnsi="Sylfaen"/>
          <w:sz w:val="28"/>
          <w:szCs w:val="28"/>
        </w:rPr>
        <w:footnoteReference w:id="38"/>
      </w:r>
      <w:r w:rsidR="005E178E">
        <w:rPr>
          <w:rFonts w:ascii="Sylfaen" w:hAnsi="Sylfaen"/>
          <w:sz w:val="28"/>
          <w:szCs w:val="28"/>
        </w:rPr>
        <w:t xml:space="preserve"> </w:t>
      </w:r>
      <w:r w:rsidRPr="00F66BE7">
        <w:rPr>
          <w:rFonts w:ascii="Sylfaen" w:hAnsi="Sylfaen"/>
          <w:sz w:val="28"/>
          <w:szCs w:val="28"/>
        </w:rPr>
        <w:t xml:space="preserve">and 2 Timothy comforts us to grow in our trust in God: </w:t>
      </w:r>
      <w:r w:rsidRPr="00F66BE7">
        <w:rPr>
          <w:rFonts w:ascii="Sylfaen" w:hAnsi="Sylfaen"/>
          <w:i/>
          <w:iCs/>
          <w:sz w:val="28"/>
          <w:szCs w:val="28"/>
        </w:rPr>
        <w:t>“Nevertheless, God’s solid foundation stands, bearing this inscription, ‘The Lord knows those who are his;’ and, ‘Let everyone who calls upon the name of the Lord avoid evil’”</w:t>
      </w:r>
      <w:r w:rsidRPr="00F66BE7">
        <w:rPr>
          <w:rFonts w:ascii="Sylfaen" w:hAnsi="Sylfaen"/>
          <w:sz w:val="28"/>
          <w:szCs w:val="28"/>
        </w:rPr>
        <w:t xml:space="preserve"> (2 Tim 2:19).</w:t>
      </w:r>
    </w:p>
    <w:p w14:paraId="2755A858" w14:textId="77777777" w:rsidR="000E351E" w:rsidRPr="00F66BE7" w:rsidRDefault="000E351E" w:rsidP="000E351E">
      <w:pPr>
        <w:jc w:val="both"/>
        <w:rPr>
          <w:rFonts w:ascii="Sylfaen" w:hAnsi="Sylfaen"/>
          <w:sz w:val="28"/>
          <w:szCs w:val="28"/>
        </w:rPr>
      </w:pPr>
    </w:p>
    <w:p w14:paraId="1C2811A9" w14:textId="10BA93AF" w:rsidR="000E351E" w:rsidRPr="00F66BE7" w:rsidRDefault="000E351E" w:rsidP="000E351E">
      <w:pPr>
        <w:jc w:val="both"/>
        <w:rPr>
          <w:rFonts w:ascii="Sylfaen" w:hAnsi="Sylfaen"/>
          <w:sz w:val="28"/>
          <w:szCs w:val="28"/>
        </w:rPr>
      </w:pPr>
      <w:r w:rsidRPr="00F66BE7">
        <w:rPr>
          <w:rFonts w:ascii="Sylfaen" w:hAnsi="Sylfaen"/>
          <w:sz w:val="28"/>
          <w:szCs w:val="28"/>
        </w:rPr>
        <w:t xml:space="preserve">We have to constantly ask, not out of doubt but of renewal of our commitment to God and his mission: </w:t>
      </w:r>
      <w:r w:rsidRPr="00F66BE7">
        <w:rPr>
          <w:rFonts w:ascii="Sylfaen" w:hAnsi="Sylfaen"/>
          <w:i/>
          <w:iCs/>
          <w:sz w:val="28"/>
          <w:szCs w:val="28"/>
        </w:rPr>
        <w:t xml:space="preserve">“Is the Lord in our midst or not?” </w:t>
      </w:r>
      <w:r w:rsidRPr="00F66BE7">
        <w:rPr>
          <w:rFonts w:ascii="Sylfaen" w:hAnsi="Sylfaen"/>
          <w:sz w:val="28"/>
          <w:szCs w:val="28"/>
        </w:rPr>
        <w:t>(Exod 17:7, NAB), and answer with the interpreter:</w:t>
      </w:r>
      <w:r w:rsidRPr="00F66BE7">
        <w:rPr>
          <w:rFonts w:ascii="Sylfaen" w:hAnsi="Sylfaen"/>
          <w:i/>
          <w:iCs/>
          <w:sz w:val="28"/>
          <w:szCs w:val="28"/>
        </w:rPr>
        <w:t xml:space="preserve"> </w:t>
      </w:r>
      <w:r w:rsidRPr="00F66BE7">
        <w:rPr>
          <w:rFonts w:ascii="Sylfaen" w:hAnsi="Sylfaen"/>
          <w:sz w:val="28"/>
          <w:szCs w:val="28"/>
        </w:rPr>
        <w:t xml:space="preserve">“In our days we admit our hardness of heart and lack of faith and we do ask this question. We read this episode and wonder why such miracles seldom if ever happen today. Then it may dawn upon us that these </w:t>
      </w:r>
      <w:r w:rsidRPr="00F66BE7">
        <w:rPr>
          <w:rFonts w:ascii="Sylfaen" w:hAnsi="Sylfaen"/>
          <w:sz w:val="28"/>
          <w:szCs w:val="28"/>
        </w:rPr>
        <w:lastRenderedPageBreak/>
        <w:t>verses are not meant to be read as literal history, but rather as a pictorial illustration of deeper spiritual truth in a setting not merely of the present moment but of the past and future eternities. God does not promise to give people what they want, but he does promise to satisfy abundantly those who trust in him. This incident is an old folk tale expressing in a popular way a truth which can be tested in personal experience by every believer, but which cannot receive its objective proof till the secrets of all hearts are known at last. Hot for certainty, we demand a proof of God in an incident, in an instant; but one cannot prove God, one can only know him, and that only gradually in a lifelong friendship, the perpetual happy surprises of the years ever adding new wonder to our knowledge of the ways of him we love.”</w:t>
      </w:r>
      <w:r w:rsidR="005E178E">
        <w:rPr>
          <w:rStyle w:val="FootnoteReference"/>
          <w:rFonts w:ascii="Sylfaen" w:hAnsi="Sylfaen"/>
          <w:sz w:val="28"/>
          <w:szCs w:val="28"/>
        </w:rPr>
        <w:footnoteReference w:id="39"/>
      </w:r>
    </w:p>
    <w:p w14:paraId="483A4421" w14:textId="77777777" w:rsidR="000E351E" w:rsidRPr="00F66BE7" w:rsidRDefault="000E351E" w:rsidP="000E351E">
      <w:pPr>
        <w:jc w:val="both"/>
        <w:rPr>
          <w:rFonts w:ascii="Sylfaen" w:hAnsi="Sylfaen"/>
          <w:sz w:val="28"/>
          <w:szCs w:val="28"/>
        </w:rPr>
      </w:pPr>
      <w:r w:rsidRPr="00F66BE7">
        <w:rPr>
          <w:rFonts w:ascii="Sylfaen" w:hAnsi="Sylfaen"/>
          <w:sz w:val="28"/>
          <w:szCs w:val="28"/>
        </w:rPr>
        <w:t xml:space="preserve"> </w:t>
      </w:r>
    </w:p>
    <w:p w14:paraId="7E54879E" w14:textId="77777777" w:rsidR="000E351E" w:rsidRPr="00F66BE7" w:rsidRDefault="000E351E" w:rsidP="000E351E">
      <w:pPr>
        <w:jc w:val="both"/>
        <w:rPr>
          <w:rFonts w:ascii="Sylfaen" w:hAnsi="Sylfaen"/>
          <w:sz w:val="28"/>
          <w:szCs w:val="28"/>
        </w:rPr>
      </w:pPr>
      <w:r w:rsidRPr="00F66BE7">
        <w:rPr>
          <w:rFonts w:ascii="Sylfaen" w:hAnsi="Sylfaen"/>
          <w:sz w:val="28"/>
          <w:szCs w:val="28"/>
        </w:rPr>
        <w:t>In conclusion, I see Paul’s metaphor summed up in the daily Morning Prayer Hour doxology of the Armenian Church:</w:t>
      </w:r>
    </w:p>
    <w:p w14:paraId="0BE3AC3E" w14:textId="77777777" w:rsidR="000E351E" w:rsidRPr="00F66BE7" w:rsidRDefault="000E351E" w:rsidP="000E351E">
      <w:pPr>
        <w:ind w:left="360" w:firstLine="360"/>
        <w:jc w:val="both"/>
        <w:rPr>
          <w:rFonts w:ascii="Sylfaen" w:hAnsi="Sylfaen"/>
          <w:sz w:val="28"/>
          <w:szCs w:val="28"/>
        </w:rPr>
      </w:pPr>
      <w:r w:rsidRPr="00F66BE7">
        <w:rPr>
          <w:rFonts w:ascii="Sylfaen" w:hAnsi="Sylfaen"/>
          <w:sz w:val="28"/>
          <w:szCs w:val="28"/>
        </w:rPr>
        <w:t xml:space="preserve">“Maker of all beings and creatures out of nothing, </w:t>
      </w:r>
    </w:p>
    <w:p w14:paraId="385372F5" w14:textId="77777777" w:rsidR="000E351E" w:rsidRPr="00F66BE7" w:rsidRDefault="000E351E" w:rsidP="000E351E">
      <w:pPr>
        <w:pStyle w:val="p2"/>
        <w:spacing w:line="240" w:lineRule="auto"/>
        <w:rPr>
          <w:rFonts w:ascii="Sylfaen" w:hAnsi="Sylfaen"/>
          <w:sz w:val="28"/>
          <w:szCs w:val="28"/>
        </w:rPr>
      </w:pPr>
      <w:r w:rsidRPr="00F66BE7">
        <w:rPr>
          <w:rFonts w:ascii="Sylfaen" w:hAnsi="Sylfaen"/>
          <w:sz w:val="28"/>
          <w:szCs w:val="28"/>
        </w:rPr>
        <w:tab/>
        <w:t xml:space="preserve">You did build the church, the rock upon the rock of the Word. </w:t>
      </w:r>
    </w:p>
    <w:p w14:paraId="746DEFD3" w14:textId="77777777" w:rsidR="000E351E" w:rsidRPr="00F66BE7" w:rsidRDefault="000E351E" w:rsidP="000E351E">
      <w:pPr>
        <w:pStyle w:val="p2"/>
        <w:spacing w:line="240" w:lineRule="auto"/>
        <w:rPr>
          <w:rFonts w:ascii="Sylfaen" w:hAnsi="Sylfaen"/>
          <w:sz w:val="28"/>
          <w:szCs w:val="28"/>
        </w:rPr>
      </w:pPr>
      <w:r w:rsidRPr="00F66BE7">
        <w:rPr>
          <w:rFonts w:ascii="Sylfaen" w:hAnsi="Sylfaen"/>
          <w:sz w:val="28"/>
          <w:szCs w:val="28"/>
        </w:rPr>
        <w:tab/>
        <w:t>On the foundation laid in new Zion, join us together and build us thereon.</w:t>
      </w:r>
    </w:p>
    <w:p w14:paraId="38967527" w14:textId="77777777" w:rsidR="000E351E" w:rsidRPr="00F66BE7" w:rsidRDefault="000E351E" w:rsidP="000E351E">
      <w:pPr>
        <w:pStyle w:val="p55"/>
        <w:spacing w:line="240" w:lineRule="auto"/>
        <w:ind w:left="0"/>
        <w:rPr>
          <w:rFonts w:ascii="Sylfaen" w:hAnsi="Sylfaen"/>
          <w:sz w:val="28"/>
          <w:szCs w:val="28"/>
        </w:rPr>
      </w:pPr>
      <w:r w:rsidRPr="00F66BE7">
        <w:rPr>
          <w:rFonts w:ascii="Sylfaen" w:hAnsi="Sylfaen"/>
          <w:sz w:val="28"/>
          <w:szCs w:val="28"/>
        </w:rPr>
        <w:tab/>
      </w:r>
      <w:r w:rsidRPr="00F66BE7">
        <w:rPr>
          <w:rFonts w:ascii="Sylfaen" w:hAnsi="Sylfaen"/>
          <w:sz w:val="28"/>
          <w:szCs w:val="28"/>
        </w:rPr>
        <w:tab/>
        <w:t>Let us give honor and glory to the Word uncreated, who works wonders.</w:t>
      </w:r>
    </w:p>
    <w:p w14:paraId="7F192A9D" w14:textId="6A7C41A5" w:rsidR="000E351E" w:rsidRPr="00F66BE7" w:rsidRDefault="000E351E" w:rsidP="000E351E">
      <w:pPr>
        <w:pStyle w:val="p55"/>
        <w:spacing w:line="240" w:lineRule="auto"/>
        <w:ind w:left="0"/>
        <w:rPr>
          <w:rFonts w:ascii="Sylfaen" w:hAnsi="Sylfaen"/>
          <w:sz w:val="28"/>
          <w:szCs w:val="28"/>
        </w:rPr>
      </w:pP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r>
      <w:r w:rsidRPr="00F66BE7">
        <w:rPr>
          <w:rFonts w:ascii="Sylfaen" w:hAnsi="Sylfaen"/>
          <w:sz w:val="28"/>
          <w:szCs w:val="28"/>
        </w:rPr>
        <w:tab/>
        <w:t>(Hymns of the Days of Creation, Thursday)</w:t>
      </w:r>
      <w:r w:rsidR="005E178E">
        <w:rPr>
          <w:rStyle w:val="FootnoteReference"/>
          <w:rFonts w:ascii="Sylfaen" w:hAnsi="Sylfaen"/>
          <w:sz w:val="28"/>
          <w:szCs w:val="28"/>
        </w:rPr>
        <w:footnoteReference w:id="40"/>
      </w:r>
    </w:p>
    <w:p w14:paraId="0384B3E3" w14:textId="77777777" w:rsidR="000E351E" w:rsidRPr="00F66BE7" w:rsidRDefault="000E351E" w:rsidP="000E351E">
      <w:pPr>
        <w:pStyle w:val="p55"/>
        <w:spacing w:line="240" w:lineRule="auto"/>
        <w:ind w:left="0"/>
        <w:rPr>
          <w:rFonts w:ascii="Sylfaen" w:hAnsi="Sylfaen"/>
          <w:sz w:val="28"/>
          <w:szCs w:val="28"/>
        </w:rPr>
      </w:pPr>
    </w:p>
    <w:p w14:paraId="34923F1B" w14:textId="77777777" w:rsidR="00CC1C57" w:rsidRDefault="00CC1C57" w:rsidP="00CC1C57">
      <w:pPr>
        <w:rPr>
          <w:rFonts w:ascii="Sylfaen" w:hAnsi="Sylfaen"/>
          <w:sz w:val="28"/>
          <w:szCs w:val="28"/>
        </w:rPr>
      </w:pPr>
      <w:r w:rsidRPr="00F66BE7">
        <w:rPr>
          <w:rFonts w:ascii="Sylfaen" w:hAnsi="Sylfaen"/>
          <w:sz w:val="28"/>
          <w:szCs w:val="28"/>
        </w:rPr>
        <w:t>Nareg Alemezian</w:t>
      </w:r>
      <w:r w:rsidRPr="00CC1C57">
        <w:rPr>
          <w:rFonts w:ascii="Sylfaen" w:hAnsi="Sylfaen"/>
          <w:sz w:val="28"/>
          <w:szCs w:val="28"/>
        </w:rPr>
        <w:t xml:space="preserve"> </w:t>
      </w:r>
    </w:p>
    <w:p w14:paraId="2C8924DF" w14:textId="60CD3C3D" w:rsidR="00CC1C57" w:rsidRPr="00F66BE7" w:rsidRDefault="00921608" w:rsidP="00CC1C57">
      <w:pPr>
        <w:rPr>
          <w:rFonts w:ascii="Sylfaen" w:hAnsi="Sylfaen"/>
          <w:sz w:val="28"/>
          <w:szCs w:val="28"/>
        </w:rPr>
      </w:pPr>
      <w:r w:rsidRPr="00F66BE7">
        <w:rPr>
          <w:rFonts w:ascii="Sylfaen" w:hAnsi="Sylfaen"/>
          <w:sz w:val="28"/>
          <w:szCs w:val="28"/>
        </w:rPr>
        <w:t>20</w:t>
      </w:r>
      <w:r>
        <w:rPr>
          <w:rFonts w:ascii="Sylfaen" w:hAnsi="Sylfaen"/>
          <w:sz w:val="28"/>
          <w:szCs w:val="28"/>
        </w:rPr>
        <w:t xml:space="preserve"> </w:t>
      </w:r>
      <w:r w:rsidR="00CC1C57" w:rsidRPr="00F66BE7">
        <w:rPr>
          <w:rFonts w:ascii="Sylfaen" w:hAnsi="Sylfaen"/>
          <w:sz w:val="28"/>
          <w:szCs w:val="28"/>
        </w:rPr>
        <w:t>October 2003</w:t>
      </w:r>
    </w:p>
    <w:p w14:paraId="245853FB" w14:textId="77777777" w:rsidR="00CC1C57" w:rsidRPr="00F66BE7" w:rsidRDefault="00CC1C57" w:rsidP="00CC1C57">
      <w:pPr>
        <w:rPr>
          <w:rFonts w:ascii="Sylfaen" w:hAnsi="Sylfaen"/>
          <w:sz w:val="28"/>
          <w:szCs w:val="28"/>
        </w:rPr>
      </w:pPr>
    </w:p>
    <w:p w14:paraId="6B9A9D45" w14:textId="679DF744" w:rsidR="00CC1C57" w:rsidRPr="00F66BE7" w:rsidRDefault="00CC1C57" w:rsidP="00CC1C57">
      <w:pPr>
        <w:jc w:val="center"/>
        <w:rPr>
          <w:rFonts w:ascii="Sylfaen" w:hAnsi="Sylfaen"/>
          <w:sz w:val="28"/>
          <w:szCs w:val="28"/>
        </w:rPr>
      </w:pPr>
    </w:p>
    <w:p w14:paraId="14F5BFB1" w14:textId="77777777" w:rsidR="000E351E" w:rsidRPr="00F66BE7" w:rsidRDefault="000E351E" w:rsidP="000E351E">
      <w:pPr>
        <w:pStyle w:val="p55"/>
        <w:spacing w:line="240" w:lineRule="auto"/>
        <w:ind w:left="0"/>
        <w:rPr>
          <w:rFonts w:ascii="Sylfaen" w:hAnsi="Sylfaen"/>
          <w:sz w:val="28"/>
          <w:szCs w:val="28"/>
        </w:rPr>
      </w:pPr>
    </w:p>
    <w:p w14:paraId="32C7B3EE" w14:textId="77777777" w:rsidR="000E351E" w:rsidRPr="00F66BE7" w:rsidRDefault="000E351E" w:rsidP="000E351E">
      <w:pPr>
        <w:pStyle w:val="p55"/>
        <w:spacing w:line="240" w:lineRule="auto"/>
        <w:ind w:left="0"/>
        <w:rPr>
          <w:rFonts w:ascii="Sylfaen" w:hAnsi="Sylfaen"/>
          <w:sz w:val="28"/>
          <w:szCs w:val="28"/>
        </w:rPr>
      </w:pPr>
    </w:p>
    <w:p w14:paraId="2062306D"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57876" w14:textId="77777777" w:rsidR="00683CBF" w:rsidRDefault="00683CBF" w:rsidP="005B0B11">
      <w:r>
        <w:separator/>
      </w:r>
    </w:p>
  </w:endnote>
  <w:endnote w:type="continuationSeparator" w:id="0">
    <w:p w14:paraId="58C7AB2E" w14:textId="77777777" w:rsidR="00683CBF" w:rsidRDefault="00683CBF" w:rsidP="005B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6394360"/>
      <w:docPartObj>
        <w:docPartGallery w:val="Page Numbers (Bottom of Page)"/>
        <w:docPartUnique/>
      </w:docPartObj>
    </w:sdtPr>
    <w:sdtContent>
      <w:p w14:paraId="4C58D87F" w14:textId="650FDED7" w:rsidR="00221324" w:rsidRDefault="0022132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E961C7" w14:textId="77777777" w:rsidR="00221324" w:rsidRDefault="00221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75412052"/>
      <w:docPartObj>
        <w:docPartGallery w:val="Page Numbers (Bottom of Page)"/>
        <w:docPartUnique/>
      </w:docPartObj>
    </w:sdtPr>
    <w:sdtContent>
      <w:p w14:paraId="7894D643" w14:textId="209CD711" w:rsidR="00221324" w:rsidRDefault="0022132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4</w:t>
        </w:r>
        <w:r>
          <w:rPr>
            <w:rStyle w:val="PageNumber"/>
          </w:rPr>
          <w:fldChar w:fldCharType="end"/>
        </w:r>
      </w:p>
    </w:sdtContent>
  </w:sdt>
  <w:p w14:paraId="5898CA46" w14:textId="77777777" w:rsidR="00221324" w:rsidRDefault="00221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0B67ED" w14:textId="77777777" w:rsidR="00683CBF" w:rsidRDefault="00683CBF" w:rsidP="005B0B11">
      <w:r>
        <w:separator/>
      </w:r>
    </w:p>
  </w:footnote>
  <w:footnote w:type="continuationSeparator" w:id="0">
    <w:p w14:paraId="01CC252B" w14:textId="77777777" w:rsidR="00683CBF" w:rsidRDefault="00683CBF" w:rsidP="005B0B11">
      <w:r>
        <w:continuationSeparator/>
      </w:r>
    </w:p>
  </w:footnote>
  <w:footnote w:id="1">
    <w:p w14:paraId="28242AFA" w14:textId="34E607D6" w:rsidR="005B0B11" w:rsidRPr="00821B58" w:rsidRDefault="005B0B11" w:rsidP="00821B58">
      <w:pPr>
        <w:pStyle w:val="FootnoteText"/>
        <w:jc w:val="both"/>
        <w:rPr>
          <w:rFonts w:ascii="Sylfaen" w:hAnsi="Sylfaen"/>
          <w:lang w:val="en-US"/>
        </w:rPr>
      </w:pPr>
      <w:r w:rsidRPr="00821B58">
        <w:rPr>
          <w:rStyle w:val="FootnoteReference"/>
          <w:rFonts w:ascii="Sylfaen" w:hAnsi="Sylfaen"/>
        </w:rPr>
        <w:footnoteRef/>
      </w:r>
      <w:r w:rsidRPr="00821B58">
        <w:rPr>
          <w:rFonts w:ascii="Sylfaen" w:hAnsi="Sylfaen"/>
        </w:rPr>
        <w:t xml:space="preserve"> </w:t>
      </w:r>
      <w:r w:rsidR="008E21A3" w:rsidRPr="00821B58">
        <w:rPr>
          <w:rFonts w:ascii="Sylfaen" w:hAnsi="Sylfaen"/>
          <w:szCs w:val="20"/>
        </w:rPr>
        <w:t xml:space="preserve">The Armenian text has the following variables in verse 1: “Our ancestors </w:t>
      </w:r>
      <w:r w:rsidR="008E21A3" w:rsidRPr="00821B58">
        <w:rPr>
          <w:rFonts w:ascii="Sylfaen" w:hAnsi="Sylfaen"/>
          <w:b/>
          <w:bCs/>
          <w:szCs w:val="20"/>
        </w:rPr>
        <w:t>who came out of Egypt</w:t>
      </w:r>
      <w:r w:rsidR="008E21A3" w:rsidRPr="00821B58">
        <w:rPr>
          <w:rFonts w:ascii="Sylfaen" w:hAnsi="Sylfaen"/>
          <w:szCs w:val="20"/>
        </w:rPr>
        <w:t xml:space="preserve">…all passed through the </w:t>
      </w:r>
      <w:r w:rsidR="008E21A3" w:rsidRPr="00821B58">
        <w:rPr>
          <w:rFonts w:ascii="Sylfaen" w:hAnsi="Sylfaen"/>
          <w:b/>
          <w:bCs/>
          <w:szCs w:val="20"/>
        </w:rPr>
        <w:t>Red</w:t>
      </w:r>
      <w:r w:rsidR="008E21A3" w:rsidRPr="00821B58">
        <w:rPr>
          <w:rFonts w:ascii="Sylfaen" w:hAnsi="Sylfaen"/>
          <w:szCs w:val="20"/>
        </w:rPr>
        <w:t xml:space="preserve"> Sea” (</w:t>
      </w:r>
      <w:r w:rsidR="008E21A3" w:rsidRPr="00821B58">
        <w:rPr>
          <w:rFonts w:ascii="Sylfaen" w:hAnsi="Sylfaen"/>
          <w:i/>
          <w:szCs w:val="20"/>
        </w:rPr>
        <w:t>Contemporary Armenian New Testament</w:t>
      </w:r>
      <w:r w:rsidR="008E21A3" w:rsidRPr="00821B58">
        <w:rPr>
          <w:rFonts w:ascii="Sylfaen" w:hAnsi="Sylfaen"/>
          <w:szCs w:val="20"/>
        </w:rPr>
        <w:t>, (Antelias, 1996), 554)</w:t>
      </w:r>
      <w:r w:rsidR="00821B58" w:rsidRPr="00821B58">
        <w:rPr>
          <w:rFonts w:ascii="Sylfaen" w:hAnsi="Sylfaen"/>
          <w:szCs w:val="20"/>
        </w:rPr>
        <w:t>.</w:t>
      </w:r>
    </w:p>
  </w:footnote>
  <w:footnote w:id="2">
    <w:p w14:paraId="54018630" w14:textId="79B9FAD9" w:rsidR="00821B58" w:rsidRPr="00821B58" w:rsidRDefault="00821B58" w:rsidP="00821B58">
      <w:pPr>
        <w:pStyle w:val="FootnoteText"/>
        <w:jc w:val="both"/>
        <w:rPr>
          <w:rFonts w:ascii="Sylfaen" w:hAnsi="Sylfaen"/>
          <w:lang w:val="en-US"/>
        </w:rPr>
      </w:pPr>
      <w:r w:rsidRPr="00821B58">
        <w:rPr>
          <w:rStyle w:val="FootnoteReference"/>
          <w:rFonts w:ascii="Sylfaen" w:hAnsi="Sylfaen"/>
        </w:rPr>
        <w:footnoteRef/>
      </w:r>
      <w:r w:rsidRPr="00821B58">
        <w:rPr>
          <w:rFonts w:ascii="Sylfaen" w:hAnsi="Sylfaen"/>
        </w:rPr>
        <w:t xml:space="preserve"> </w:t>
      </w:r>
      <w:r w:rsidRPr="00821B58">
        <w:rPr>
          <w:rFonts w:ascii="Sylfaen" w:hAnsi="Sylfaen"/>
          <w:szCs w:val="20"/>
        </w:rPr>
        <w:t xml:space="preserve">“Paul’s fundamental theological problem: how to hold together the two dispensations, one being God’s election of Israel and his gift to them of the law, the other his offer of salvation to all who have faith in Christ” (E. P. Sanders, </w:t>
      </w:r>
      <w:r w:rsidRPr="00821B58">
        <w:rPr>
          <w:rFonts w:ascii="Sylfaen" w:hAnsi="Sylfaen"/>
          <w:i/>
          <w:iCs/>
          <w:szCs w:val="20"/>
        </w:rPr>
        <w:t>Paul</w:t>
      </w:r>
      <w:r w:rsidRPr="00821B58">
        <w:rPr>
          <w:rFonts w:ascii="Sylfaen" w:hAnsi="Sylfaen"/>
          <w:szCs w:val="20"/>
        </w:rPr>
        <w:t>, (Oxford University Press, c1991), 117).</w:t>
      </w:r>
    </w:p>
  </w:footnote>
  <w:footnote w:id="3">
    <w:p w14:paraId="24129F8B" w14:textId="77777777" w:rsidR="00821B58" w:rsidRPr="00821B58" w:rsidRDefault="00821B58" w:rsidP="00821B58">
      <w:pPr>
        <w:jc w:val="both"/>
        <w:rPr>
          <w:rFonts w:ascii="Sylfaen" w:hAnsi="Sylfaen"/>
          <w:sz w:val="20"/>
          <w:szCs w:val="20"/>
        </w:rPr>
      </w:pPr>
      <w:r w:rsidRPr="00821B58">
        <w:rPr>
          <w:rStyle w:val="FootnoteReference"/>
          <w:rFonts w:ascii="Sylfaen" w:hAnsi="Sylfaen"/>
          <w:sz w:val="20"/>
          <w:szCs w:val="20"/>
        </w:rPr>
        <w:footnoteRef/>
      </w:r>
      <w:r w:rsidRPr="00821B58">
        <w:rPr>
          <w:rFonts w:ascii="Sylfaen" w:hAnsi="Sylfaen"/>
          <w:sz w:val="20"/>
          <w:szCs w:val="20"/>
        </w:rPr>
        <w:t xml:space="preserve"> </w:t>
      </w:r>
      <w:r w:rsidRPr="00821B58">
        <w:rPr>
          <w:rFonts w:ascii="Sylfaen" w:hAnsi="Sylfaen"/>
          <w:sz w:val="20"/>
          <w:szCs w:val="20"/>
        </w:rPr>
        <w:t>“The birth of Christ as a human being and a Jew, his death, and his resurrection as spiritual and universal was the model and the apocalypse of the transcendence of the physical and particular Torah for</w:t>
      </w:r>
      <w:r w:rsidRPr="00821B58">
        <w:rPr>
          <w:rFonts w:ascii="Sylfaen" w:hAnsi="Sylfaen"/>
          <w:i/>
          <w:iCs/>
          <w:sz w:val="20"/>
          <w:szCs w:val="20"/>
        </w:rPr>
        <w:t xml:space="preserve"> </w:t>
      </w:r>
      <w:r w:rsidRPr="00821B58">
        <w:rPr>
          <w:rFonts w:ascii="Sylfaen" w:hAnsi="Sylfaen"/>
          <w:sz w:val="20"/>
          <w:szCs w:val="20"/>
        </w:rPr>
        <w:t xml:space="preserve">Jews alone by its spiritual and universal referent for all. At that moment Saul died, and Paul was born”; “…the whole content of Paul’s gospel, as I have understood it, is that the physical observances </w:t>
      </w:r>
      <w:r w:rsidRPr="00821B58">
        <w:rPr>
          <w:rFonts w:ascii="Sylfaen" w:hAnsi="Sylfaen"/>
          <w:i/>
          <w:iCs/>
          <w:sz w:val="20"/>
          <w:szCs w:val="20"/>
        </w:rPr>
        <w:t>that constitute the physical Israel as the People of God</w:t>
      </w:r>
      <w:r w:rsidRPr="00821B58">
        <w:rPr>
          <w:rFonts w:ascii="Sylfaen" w:hAnsi="Sylfaen"/>
          <w:sz w:val="20"/>
          <w:szCs w:val="20"/>
        </w:rPr>
        <w:t xml:space="preserve"> have been transmuted and fulfilled in the allegorical signification in the spirit, thereby constituting the faithful gentiles as Israel in the spirit” (Daniel Boyarin, </w:t>
      </w:r>
      <w:r w:rsidRPr="00821B58">
        <w:rPr>
          <w:rFonts w:ascii="Sylfaen" w:hAnsi="Sylfaen"/>
          <w:i/>
          <w:iCs/>
          <w:sz w:val="20"/>
          <w:szCs w:val="20"/>
        </w:rPr>
        <w:t xml:space="preserve">A Radical Jew, </w:t>
      </w:r>
      <w:r w:rsidRPr="00821B58">
        <w:rPr>
          <w:rFonts w:ascii="Sylfaen" w:hAnsi="Sylfaen"/>
          <w:sz w:val="20"/>
          <w:szCs w:val="20"/>
        </w:rPr>
        <w:t>(Berkeley, Los Angeles, London: University of California Press, c1994), 39 &amp; 113).</w:t>
      </w:r>
    </w:p>
    <w:p w14:paraId="45DDB73E" w14:textId="797F4C51" w:rsidR="00821B58" w:rsidRPr="00821B58" w:rsidRDefault="00821B58" w:rsidP="00821B58">
      <w:pPr>
        <w:pStyle w:val="FootnoteText"/>
        <w:jc w:val="both"/>
        <w:rPr>
          <w:rFonts w:ascii="Sylfaen" w:hAnsi="Sylfaen"/>
          <w:szCs w:val="20"/>
          <w:lang w:val="en-US"/>
        </w:rPr>
      </w:pPr>
      <w:r w:rsidRPr="00821B58">
        <w:rPr>
          <w:rFonts w:ascii="Sylfaen" w:hAnsi="Sylfaen"/>
          <w:szCs w:val="20"/>
        </w:rPr>
        <w:t xml:space="preserve">“…the whole content of Paul’s gospel, as I have understood it, is that the physical observances </w:t>
      </w:r>
      <w:r w:rsidRPr="00821B58">
        <w:rPr>
          <w:rFonts w:ascii="Sylfaen" w:hAnsi="Sylfaen"/>
          <w:i/>
          <w:iCs/>
          <w:szCs w:val="20"/>
        </w:rPr>
        <w:t>that constitute the physical Israel as the People of God</w:t>
      </w:r>
      <w:r w:rsidRPr="00821B58">
        <w:rPr>
          <w:rFonts w:ascii="Sylfaen" w:hAnsi="Sylfaen"/>
          <w:szCs w:val="20"/>
        </w:rPr>
        <w:t xml:space="preserve"> have been transmuted and fulfilled in the allegorical signification in the spirit, thereby constituting the faithful gentiles as Israel in the spirit” (</w:t>
      </w:r>
      <w:r w:rsidRPr="00821B58">
        <w:rPr>
          <w:rFonts w:ascii="Sylfaen" w:hAnsi="Sylfaen"/>
          <w:i/>
          <w:iCs/>
          <w:szCs w:val="20"/>
        </w:rPr>
        <w:t>Ibid</w:t>
      </w:r>
      <w:r w:rsidRPr="00821B58">
        <w:rPr>
          <w:rFonts w:ascii="Sylfaen" w:hAnsi="Sylfaen"/>
          <w:szCs w:val="20"/>
        </w:rPr>
        <w:t>, 113).</w:t>
      </w:r>
    </w:p>
  </w:footnote>
  <w:footnote w:id="4">
    <w:p w14:paraId="6E7221BA" w14:textId="40AA78F3" w:rsidR="008F0FD7" w:rsidRPr="000054F3" w:rsidRDefault="008F0FD7" w:rsidP="000054F3">
      <w:pPr>
        <w:pStyle w:val="FootnoteText"/>
        <w:jc w:val="both"/>
        <w:rPr>
          <w:rFonts w:ascii="Sylfaen" w:hAnsi="Sylfaen"/>
          <w:lang w:val="en-US"/>
        </w:rPr>
      </w:pPr>
      <w:r w:rsidRPr="000054F3">
        <w:rPr>
          <w:rStyle w:val="FootnoteReference"/>
          <w:rFonts w:ascii="Sylfaen" w:hAnsi="Sylfaen"/>
        </w:rPr>
        <w:footnoteRef/>
      </w:r>
      <w:r w:rsidRPr="000054F3">
        <w:rPr>
          <w:rFonts w:ascii="Sylfaen" w:hAnsi="Sylfaen"/>
        </w:rPr>
        <w:t xml:space="preserve"> </w:t>
      </w:r>
      <w:r w:rsidR="000054F3" w:rsidRPr="000054F3">
        <w:rPr>
          <w:rFonts w:ascii="Sylfaen" w:hAnsi="Sylfaen"/>
          <w:szCs w:val="20"/>
        </w:rPr>
        <w:t xml:space="preserve">Charles B. Cousar, </w:t>
      </w:r>
      <w:r w:rsidR="000054F3" w:rsidRPr="000054F3">
        <w:rPr>
          <w:rFonts w:ascii="Sylfaen" w:hAnsi="Sylfaen"/>
          <w:i/>
          <w:szCs w:val="20"/>
        </w:rPr>
        <w:t xml:space="preserve">The Letters of Paul, </w:t>
      </w:r>
      <w:r w:rsidR="000054F3" w:rsidRPr="000054F3">
        <w:rPr>
          <w:rFonts w:ascii="Sylfaen" w:hAnsi="Sylfaen"/>
          <w:szCs w:val="20"/>
        </w:rPr>
        <w:t>(Nashville: Abingdon Press, c1996).</w:t>
      </w:r>
    </w:p>
  </w:footnote>
  <w:footnote w:id="5">
    <w:p w14:paraId="594220D7" w14:textId="49E6EDCD" w:rsidR="000054F3" w:rsidRPr="000054F3" w:rsidRDefault="000054F3" w:rsidP="000054F3">
      <w:pPr>
        <w:pStyle w:val="FootnoteText"/>
        <w:jc w:val="both"/>
        <w:rPr>
          <w:rFonts w:ascii="Sylfaen" w:hAnsi="Sylfaen"/>
          <w:lang w:val="en-US"/>
        </w:rPr>
      </w:pPr>
      <w:r w:rsidRPr="000054F3">
        <w:rPr>
          <w:rStyle w:val="FootnoteReference"/>
          <w:rFonts w:ascii="Sylfaen" w:hAnsi="Sylfaen"/>
        </w:rPr>
        <w:footnoteRef/>
      </w:r>
      <w:r w:rsidRPr="000054F3">
        <w:rPr>
          <w:rFonts w:ascii="Sylfaen" w:hAnsi="Sylfaen"/>
        </w:rPr>
        <w:t xml:space="preserve"> </w:t>
      </w:r>
      <w:r w:rsidRPr="000054F3">
        <w:rPr>
          <w:rFonts w:ascii="Sylfaen" w:hAnsi="Sylfaen"/>
          <w:szCs w:val="20"/>
        </w:rPr>
        <w:t xml:space="preserve">Thomas C. Oden, </w:t>
      </w:r>
      <w:r w:rsidRPr="000054F3">
        <w:rPr>
          <w:rFonts w:ascii="Sylfaen" w:hAnsi="Sylfaen"/>
          <w:i/>
          <w:iCs/>
          <w:szCs w:val="20"/>
        </w:rPr>
        <w:t>The Rebirth of Orthodoxy</w:t>
      </w:r>
      <w:r w:rsidRPr="000054F3">
        <w:rPr>
          <w:rFonts w:ascii="Sylfaen" w:hAnsi="Sylfaen"/>
          <w:szCs w:val="20"/>
        </w:rPr>
        <w:t>, (San Francisco: Harper, c2003), Chapter Seven, Footnote 12, 200.</w:t>
      </w:r>
    </w:p>
  </w:footnote>
  <w:footnote w:id="6">
    <w:p w14:paraId="0210F093" w14:textId="0FFBAC1B" w:rsidR="004E1010" w:rsidRPr="004E1010" w:rsidRDefault="004E1010" w:rsidP="004E1010">
      <w:pPr>
        <w:pStyle w:val="FootnoteText"/>
        <w:jc w:val="both"/>
        <w:rPr>
          <w:rFonts w:ascii="Sylfaen" w:hAnsi="Sylfaen"/>
          <w:lang w:val="en-US"/>
        </w:rPr>
      </w:pPr>
      <w:r w:rsidRPr="004E1010">
        <w:rPr>
          <w:rStyle w:val="FootnoteReference"/>
          <w:rFonts w:ascii="Sylfaen" w:hAnsi="Sylfaen"/>
        </w:rPr>
        <w:footnoteRef/>
      </w:r>
      <w:r w:rsidRPr="004E1010">
        <w:rPr>
          <w:rFonts w:ascii="Sylfaen" w:hAnsi="Sylfaen"/>
        </w:rPr>
        <w:t xml:space="preserve"> </w:t>
      </w:r>
      <w:r w:rsidRPr="004E1010">
        <w:rPr>
          <w:rFonts w:ascii="Sylfaen" w:hAnsi="Sylfaen"/>
          <w:szCs w:val="20"/>
        </w:rPr>
        <w:t xml:space="preserve">“[Some of the critics] confess to be deeply bothered by the fact that Gibson is a professing Christian (classic Catholic) who attends mass regularly with his family. You see this makes him biased. It didn’t help when he admitted: “But I really feel my career was leading me to make this. The Holy Ghost was working through me on this film, and I was just directing the traffic. I hope the film has the power to evangelize.” It was this statement in my opinion that set off the P[ost] M[odern] pundits. It’s just not politically correct to want to evangelize someone; it assumes you are making a truth claim. I believe this controversy is the tenor of our times and is but a prelude of much more to come” (Quoted from an email newsletter edited by Bill Crouse, </w:t>
      </w:r>
      <w:r w:rsidRPr="004E1010">
        <w:rPr>
          <w:rFonts w:ascii="Sylfaen" w:hAnsi="Sylfaen"/>
          <w:i/>
          <w:iCs/>
          <w:szCs w:val="20"/>
        </w:rPr>
        <w:t xml:space="preserve">Rapid Response Report - Defending Historic Christianity in a Postmodern World, </w:t>
      </w:r>
      <w:r w:rsidRPr="004E1010">
        <w:rPr>
          <w:rFonts w:ascii="Sylfaen" w:hAnsi="Sylfaen"/>
          <w:szCs w:val="20"/>
        </w:rPr>
        <w:t>v. 2, no. 8, (26 September 2003), 3).</w:t>
      </w:r>
    </w:p>
  </w:footnote>
  <w:footnote w:id="7">
    <w:p w14:paraId="615F279A" w14:textId="0E3A7066" w:rsidR="00E3525E" w:rsidRPr="00E3525E" w:rsidRDefault="00E3525E" w:rsidP="00E3525E">
      <w:pPr>
        <w:pStyle w:val="FootnoteText"/>
        <w:jc w:val="both"/>
        <w:rPr>
          <w:rFonts w:ascii="Sylfaen" w:hAnsi="Sylfaen"/>
          <w:lang w:val="en-US"/>
        </w:rPr>
      </w:pPr>
      <w:r w:rsidRPr="00E3525E">
        <w:rPr>
          <w:rStyle w:val="FootnoteReference"/>
          <w:rFonts w:ascii="Sylfaen" w:hAnsi="Sylfaen"/>
        </w:rPr>
        <w:footnoteRef/>
      </w:r>
      <w:r w:rsidRPr="00E3525E">
        <w:rPr>
          <w:rFonts w:ascii="Sylfaen" w:hAnsi="Sylfaen"/>
        </w:rPr>
        <w:t xml:space="preserve"> </w:t>
      </w:r>
      <w:r w:rsidRPr="00E3525E">
        <w:rPr>
          <w:rFonts w:ascii="Sylfaen" w:hAnsi="Sylfaen"/>
          <w:szCs w:val="20"/>
        </w:rPr>
        <w:t>“[In New Delhi] church groups have expressed disappointment over a Supreme Court decision that in effect permits governmental authorities to prevent people from changing faiths and say that authorities apply double standards to Christians. …After more than 100 Christians were forcibly re-converted to Hinduism in Sundargarh last year, the All India Christian Council complained to the government but there was no response” (</w:t>
      </w:r>
      <w:r w:rsidRPr="00E3525E">
        <w:rPr>
          <w:rFonts w:ascii="Sylfaen" w:hAnsi="Sylfaen"/>
          <w:i/>
          <w:iCs/>
          <w:szCs w:val="20"/>
        </w:rPr>
        <w:t xml:space="preserve">Ecumenical News International, </w:t>
      </w:r>
      <w:r w:rsidRPr="00E3525E">
        <w:rPr>
          <w:rFonts w:ascii="Sylfaen" w:hAnsi="Sylfaen"/>
          <w:szCs w:val="20"/>
        </w:rPr>
        <w:t>no. 18, (24 September 2003), 9).</w:t>
      </w:r>
    </w:p>
  </w:footnote>
  <w:footnote w:id="8">
    <w:p w14:paraId="45541475" w14:textId="1EB1BD87" w:rsidR="00E32201" w:rsidRPr="00E32201" w:rsidRDefault="00E32201" w:rsidP="00E32201">
      <w:pPr>
        <w:pStyle w:val="FootnoteText"/>
        <w:jc w:val="both"/>
        <w:rPr>
          <w:rFonts w:ascii="Sylfaen" w:hAnsi="Sylfaen"/>
          <w:lang w:val="en-US"/>
        </w:rPr>
      </w:pPr>
      <w:r w:rsidRPr="00E32201">
        <w:rPr>
          <w:rStyle w:val="FootnoteReference"/>
          <w:rFonts w:ascii="Sylfaen" w:hAnsi="Sylfaen"/>
        </w:rPr>
        <w:footnoteRef/>
      </w:r>
      <w:r w:rsidRPr="00E32201">
        <w:rPr>
          <w:rFonts w:ascii="Sylfaen" w:hAnsi="Sylfaen"/>
        </w:rPr>
        <w:t xml:space="preserve"> </w:t>
      </w:r>
      <w:r w:rsidRPr="00E32201">
        <w:rPr>
          <w:rFonts w:ascii="Sylfaen" w:hAnsi="Sylfaen"/>
          <w:szCs w:val="20"/>
        </w:rPr>
        <w:t>Both quotes are taken from Alan F. Segal,</w:t>
      </w:r>
      <w:r w:rsidRPr="00E32201">
        <w:rPr>
          <w:rFonts w:ascii="Sylfaen" w:hAnsi="Sylfaen"/>
          <w:i/>
          <w:iCs/>
          <w:szCs w:val="20"/>
        </w:rPr>
        <w:t xml:space="preserve"> Paul the Convert, </w:t>
      </w:r>
      <w:r w:rsidRPr="00E32201">
        <w:rPr>
          <w:rFonts w:ascii="Sylfaen" w:hAnsi="Sylfaen"/>
          <w:szCs w:val="20"/>
        </w:rPr>
        <w:t>(New Haven and London: Yale University Press, c1990).</w:t>
      </w:r>
    </w:p>
  </w:footnote>
  <w:footnote w:id="9">
    <w:p w14:paraId="40585DC5" w14:textId="40B5E22A" w:rsidR="00665171" w:rsidRPr="00665171" w:rsidRDefault="00665171" w:rsidP="00665171">
      <w:pPr>
        <w:pStyle w:val="FootnoteText"/>
        <w:jc w:val="both"/>
        <w:rPr>
          <w:rFonts w:ascii="Sylfaen" w:hAnsi="Sylfaen"/>
          <w:lang w:val="en-US"/>
        </w:rPr>
      </w:pPr>
      <w:r w:rsidRPr="00665171">
        <w:rPr>
          <w:rStyle w:val="FootnoteReference"/>
          <w:rFonts w:ascii="Sylfaen" w:hAnsi="Sylfaen"/>
        </w:rPr>
        <w:footnoteRef/>
      </w:r>
      <w:r w:rsidRPr="00665171">
        <w:rPr>
          <w:rFonts w:ascii="Sylfaen" w:hAnsi="Sylfaen"/>
        </w:rPr>
        <w:t xml:space="preserve"> </w:t>
      </w:r>
      <w:r w:rsidRPr="00665171">
        <w:rPr>
          <w:rFonts w:ascii="Sylfaen" w:hAnsi="Sylfaen"/>
          <w:szCs w:val="20"/>
        </w:rPr>
        <w:t xml:space="preserve">Kevin Quast, </w:t>
      </w:r>
      <w:r w:rsidRPr="00665171">
        <w:rPr>
          <w:rFonts w:ascii="Sylfaen" w:hAnsi="Sylfaen"/>
          <w:i/>
          <w:iCs/>
          <w:szCs w:val="20"/>
        </w:rPr>
        <w:t>Reading the Corinthian Correspondence</w:t>
      </w:r>
      <w:r w:rsidRPr="00665171">
        <w:rPr>
          <w:rFonts w:ascii="Sylfaen" w:hAnsi="Sylfaen"/>
          <w:szCs w:val="20"/>
        </w:rPr>
        <w:t>, (New York, NY/Mahwah, NJ: Paulist Press, c1994), 64.</w:t>
      </w:r>
    </w:p>
  </w:footnote>
  <w:footnote w:id="10">
    <w:p w14:paraId="61E632F8" w14:textId="143E1185" w:rsidR="00364D38" w:rsidRPr="00364D38" w:rsidRDefault="00364D38" w:rsidP="00364D38">
      <w:pPr>
        <w:pStyle w:val="FootnoteText"/>
        <w:jc w:val="both"/>
        <w:rPr>
          <w:rFonts w:ascii="Sylfaen" w:hAnsi="Sylfaen"/>
          <w:lang w:val="en-US"/>
        </w:rPr>
      </w:pPr>
      <w:r w:rsidRPr="00364D38">
        <w:rPr>
          <w:rStyle w:val="FootnoteReference"/>
          <w:rFonts w:ascii="Sylfaen" w:hAnsi="Sylfaen"/>
        </w:rPr>
        <w:footnoteRef/>
      </w:r>
      <w:r w:rsidRPr="00364D38">
        <w:rPr>
          <w:rFonts w:ascii="Sylfaen" w:hAnsi="Sylfaen"/>
        </w:rPr>
        <w:t xml:space="preserve"> </w:t>
      </w:r>
      <w:r w:rsidRPr="00364D38">
        <w:rPr>
          <w:rFonts w:ascii="Sylfaen" w:hAnsi="Sylfaen"/>
          <w:szCs w:val="20"/>
        </w:rPr>
        <w:t xml:space="preserve">“‘Cloud’ as a visible token of Yahweh’s presence (cf. Exod. 16:10; 20:21; Lev. 16;2; I Kings 8:10; Ezek. 10:4; Matt. 17:5)” (George Arthur Buttrick, ed. </w:t>
      </w:r>
      <w:r w:rsidRPr="00364D38">
        <w:rPr>
          <w:rFonts w:ascii="Sylfaen" w:hAnsi="Sylfaen"/>
          <w:i/>
          <w:iCs/>
          <w:szCs w:val="20"/>
        </w:rPr>
        <w:t>The Interpreter’s Dictionary of the Bible</w:t>
      </w:r>
      <w:r w:rsidRPr="00364D38">
        <w:rPr>
          <w:rFonts w:ascii="Sylfaen" w:hAnsi="Sylfaen"/>
          <w:szCs w:val="20"/>
        </w:rPr>
        <w:t>, v. 1 (New York-Nashville: Abingdon Press, c1962), 655).</w:t>
      </w:r>
    </w:p>
  </w:footnote>
  <w:footnote w:id="11">
    <w:p w14:paraId="51FA8859" w14:textId="72B18A6B" w:rsidR="00C21B9E" w:rsidRPr="00C21B9E" w:rsidRDefault="00C21B9E" w:rsidP="00C21B9E">
      <w:pPr>
        <w:pStyle w:val="FootnoteText"/>
        <w:jc w:val="both"/>
        <w:rPr>
          <w:rFonts w:ascii="Sylfaen" w:hAnsi="Sylfaen"/>
          <w:lang w:val="en-US"/>
        </w:rPr>
      </w:pPr>
      <w:r w:rsidRPr="00C21B9E">
        <w:rPr>
          <w:rStyle w:val="FootnoteReference"/>
          <w:rFonts w:ascii="Sylfaen" w:hAnsi="Sylfaen"/>
        </w:rPr>
        <w:footnoteRef/>
      </w:r>
      <w:r w:rsidRPr="00C21B9E">
        <w:rPr>
          <w:rFonts w:ascii="Sylfaen" w:hAnsi="Sylfaen"/>
        </w:rPr>
        <w:t xml:space="preserve"> </w:t>
      </w:r>
      <w:r w:rsidRPr="00C21B9E">
        <w:rPr>
          <w:rFonts w:ascii="Sylfaen" w:hAnsi="Sylfaen"/>
          <w:szCs w:val="20"/>
        </w:rPr>
        <w:t xml:space="preserve">“Though the Israelites had </w:t>
      </w:r>
      <w:r w:rsidRPr="00C21B9E">
        <w:rPr>
          <w:rFonts w:ascii="Sylfaen" w:hAnsi="Sylfaen"/>
          <w:b/>
          <w:bCs/>
          <w:szCs w:val="20"/>
        </w:rPr>
        <w:t>passed through</w:t>
      </w:r>
      <w:r w:rsidRPr="00C21B9E">
        <w:rPr>
          <w:rFonts w:ascii="Sylfaen" w:hAnsi="Sylfaen"/>
          <w:szCs w:val="20"/>
        </w:rPr>
        <w:t xml:space="preserve"> the Red Sea, the water had not touched them (Exod. 14:22). Therefore the analogy to baptism was not very close. The real point of connection lay in the act of grace on God’s part. As the Israelites had been </w:t>
      </w:r>
      <w:r w:rsidRPr="00C21B9E">
        <w:rPr>
          <w:rFonts w:ascii="Sylfaen" w:hAnsi="Sylfaen"/>
          <w:b/>
          <w:bCs/>
          <w:szCs w:val="20"/>
        </w:rPr>
        <w:t>under the cloud</w:t>
      </w:r>
      <w:r w:rsidRPr="00C21B9E">
        <w:rPr>
          <w:rFonts w:ascii="Sylfaen" w:hAnsi="Sylfaen"/>
          <w:szCs w:val="20"/>
        </w:rPr>
        <w:t xml:space="preserve">, so Christians in their baptism had gone under the water (Rom. 6:3). It is assumed that there was the same connection between this event and </w:t>
      </w:r>
      <w:r w:rsidRPr="00C21B9E">
        <w:rPr>
          <w:rFonts w:ascii="Sylfaen" w:hAnsi="Sylfaen"/>
          <w:b/>
          <w:bCs/>
          <w:szCs w:val="20"/>
        </w:rPr>
        <w:t>Moses</w:t>
      </w:r>
      <w:r w:rsidRPr="00C21B9E">
        <w:rPr>
          <w:rFonts w:ascii="Sylfaen" w:hAnsi="Sylfaen"/>
          <w:szCs w:val="20"/>
        </w:rPr>
        <w:t xml:space="preserve"> as between baptism and </w:t>
      </w:r>
      <w:r w:rsidRPr="00C21B9E">
        <w:rPr>
          <w:rFonts w:ascii="Sylfaen" w:hAnsi="Sylfaen"/>
          <w:b/>
          <w:bCs/>
          <w:szCs w:val="20"/>
        </w:rPr>
        <w:t>Christ</w:t>
      </w:r>
      <w:r w:rsidRPr="00C21B9E">
        <w:rPr>
          <w:rFonts w:ascii="Sylfaen" w:hAnsi="Sylfaen"/>
          <w:szCs w:val="20"/>
        </w:rPr>
        <w:t xml:space="preserve">. </w:t>
      </w:r>
      <w:r w:rsidRPr="00C21B9E">
        <w:rPr>
          <w:rFonts w:ascii="Sylfaen" w:hAnsi="Sylfaen"/>
          <w:b/>
          <w:bCs/>
          <w:szCs w:val="20"/>
        </w:rPr>
        <w:t>Moses</w:t>
      </w:r>
      <w:r w:rsidRPr="00C21B9E">
        <w:rPr>
          <w:rFonts w:ascii="Sylfaen" w:hAnsi="Sylfaen"/>
          <w:szCs w:val="20"/>
        </w:rPr>
        <w:t xml:space="preserve"> and </w:t>
      </w:r>
      <w:r w:rsidRPr="00C21B9E">
        <w:rPr>
          <w:rFonts w:ascii="Sylfaen" w:hAnsi="Sylfaen"/>
          <w:b/>
          <w:bCs/>
          <w:szCs w:val="20"/>
        </w:rPr>
        <w:t>Christ</w:t>
      </w:r>
      <w:r w:rsidRPr="00C21B9E">
        <w:rPr>
          <w:rFonts w:ascii="Sylfaen" w:hAnsi="Sylfaen"/>
          <w:szCs w:val="20"/>
        </w:rPr>
        <w:t xml:space="preserve"> were the leaders through whom God had accomplished his salvation” (George Arthur Buttrick, ed. </w:t>
      </w:r>
      <w:r w:rsidRPr="00C21B9E">
        <w:rPr>
          <w:rFonts w:ascii="Sylfaen" w:hAnsi="Sylfaen"/>
          <w:i/>
          <w:iCs/>
          <w:szCs w:val="20"/>
        </w:rPr>
        <w:t>The Interpreter’s Bible</w:t>
      </w:r>
      <w:r w:rsidRPr="00C21B9E">
        <w:rPr>
          <w:rFonts w:ascii="Sylfaen" w:hAnsi="Sylfaen"/>
          <w:szCs w:val="20"/>
        </w:rPr>
        <w:t>, v. X, (New York-Nashville: Abingdon=Cokesbury Press, c1952) 108).</w:t>
      </w:r>
    </w:p>
  </w:footnote>
  <w:footnote w:id="12">
    <w:p w14:paraId="27D05207" w14:textId="38EC60A8" w:rsidR="00FE6CC5" w:rsidRPr="002473B2" w:rsidRDefault="00FE6CC5" w:rsidP="002473B2">
      <w:pPr>
        <w:pStyle w:val="FootnoteText"/>
        <w:jc w:val="both"/>
        <w:rPr>
          <w:rFonts w:ascii="Sylfaen" w:hAnsi="Sylfaen"/>
          <w:lang w:val="en-US"/>
        </w:rPr>
      </w:pPr>
      <w:r w:rsidRPr="002473B2">
        <w:rPr>
          <w:rStyle w:val="FootnoteReference"/>
          <w:rFonts w:ascii="Sylfaen" w:hAnsi="Sylfaen"/>
        </w:rPr>
        <w:footnoteRef/>
      </w:r>
      <w:r w:rsidRPr="002473B2">
        <w:rPr>
          <w:rFonts w:ascii="Sylfaen" w:hAnsi="Sylfaen"/>
        </w:rPr>
        <w:t xml:space="preserve"> </w:t>
      </w:r>
      <w:r w:rsidR="002473B2" w:rsidRPr="002473B2">
        <w:rPr>
          <w:rFonts w:ascii="Sylfaen" w:hAnsi="Sylfaen"/>
          <w:szCs w:val="20"/>
        </w:rPr>
        <w:t xml:space="preserve">“For Paul’s interpretation of baptism Gal. 3:27 is significant. Baptism is “to Christ” (a shorthand expression for “in the name of Christ”); it relates the believer to Christ in such a way that he is “in Christ” (cf. v.26). From this basic view flow the other features of baptism that appear in Paul. Baptism “to Christ” is baptism “to his death” (Rom. 6:38ff.); it relates the believer to Christ’s redemptive action, so that Christ’s death on Golgotha was his death, and it entails an end (“death”) to the life of estrangement from God and the beginning of life in Christ. Baptism to Christ is baptism to the church, for to be in Christ is to be a member of the body of Christ (Gal. 3:27ff.; 1 Cor. 12:13). Baptism to Christ is baptism in the Spirit of Christ (“We were all immersed in one Spirit … and were all saturated in (the outpouring of) one Spirit”, 1 Cor. 12:13), for the Spirit and Christ are inseparable (Rom. 8:9f.; 2 Cor. 3:17). Baptism to Christ is for life after the pattern of Christ’s dying to sin and rising for righteousness (“We were buried with him through baptism … that we might walk in a new life”, Rom. 6:4; see further the baptismal ethics of Col. 3:3–13). Baptism to Christ is for life in the kingdom to be revealed in the day of Christ (2 Cor. 1:22; Eph. 1:13; 4:30). The latter passages strictly refer not to baptism but to the baptism of the Spirit with which baptism in water is associated in the apostolic writings (cf. the alleged utterance of Thecla when about to die, “In the name of Jesus Christ I baptize myself for the last day!” Act. Paul 3:34 [Henn.-Schn., II, 262]) (Colin Brown, ed. </w:t>
      </w:r>
      <w:r w:rsidR="002473B2" w:rsidRPr="002473B2">
        <w:rPr>
          <w:rFonts w:ascii="Sylfaen" w:hAnsi="Sylfaen"/>
          <w:i/>
          <w:iCs/>
          <w:szCs w:val="20"/>
        </w:rPr>
        <w:t>The New International Dictionary of New Testament Theology</w:t>
      </w:r>
      <w:r w:rsidR="002473B2" w:rsidRPr="002473B2">
        <w:rPr>
          <w:rFonts w:ascii="Sylfaen" w:hAnsi="Sylfaen"/>
          <w:szCs w:val="20"/>
        </w:rPr>
        <w:t>, v. I, (UK: The Paternoster Press, c1975), 146–147).</w:t>
      </w:r>
    </w:p>
  </w:footnote>
  <w:footnote w:id="13">
    <w:p w14:paraId="174B02FD" w14:textId="4971BDB1" w:rsidR="002473B2" w:rsidRPr="002473B2" w:rsidRDefault="002473B2" w:rsidP="002473B2">
      <w:pPr>
        <w:pStyle w:val="FootnoteText"/>
        <w:jc w:val="both"/>
        <w:rPr>
          <w:rFonts w:ascii="Sylfaen" w:hAnsi="Sylfaen"/>
          <w:lang w:val="en-US"/>
        </w:rPr>
      </w:pPr>
      <w:r w:rsidRPr="002473B2">
        <w:rPr>
          <w:rStyle w:val="FootnoteReference"/>
          <w:rFonts w:ascii="Sylfaen" w:hAnsi="Sylfaen"/>
        </w:rPr>
        <w:footnoteRef/>
      </w:r>
      <w:r w:rsidRPr="002473B2">
        <w:rPr>
          <w:rFonts w:ascii="Sylfaen" w:hAnsi="Sylfaen"/>
        </w:rPr>
        <w:t xml:space="preserve"> </w:t>
      </w:r>
      <w:r w:rsidRPr="002473B2">
        <w:rPr>
          <w:rFonts w:ascii="Sylfaen" w:hAnsi="Sylfaen"/>
          <w:szCs w:val="20"/>
        </w:rPr>
        <w:t xml:space="preserve">“This </w:t>
      </w:r>
      <w:r w:rsidRPr="002473B2">
        <w:rPr>
          <w:rFonts w:ascii="Sylfaen" w:hAnsi="Sylfaen"/>
          <w:b/>
          <w:bCs/>
          <w:szCs w:val="20"/>
        </w:rPr>
        <w:t>food</w:t>
      </w:r>
      <w:r w:rsidRPr="002473B2">
        <w:rPr>
          <w:rFonts w:ascii="Sylfaen" w:hAnsi="Sylfaen"/>
          <w:szCs w:val="20"/>
        </w:rPr>
        <w:t xml:space="preserve"> and </w:t>
      </w:r>
      <w:r w:rsidRPr="002473B2">
        <w:rPr>
          <w:rFonts w:ascii="Sylfaen" w:hAnsi="Sylfaen"/>
          <w:b/>
          <w:bCs/>
          <w:szCs w:val="20"/>
        </w:rPr>
        <w:t>drink</w:t>
      </w:r>
      <w:r w:rsidRPr="002473B2">
        <w:rPr>
          <w:rFonts w:ascii="Sylfaen" w:hAnsi="Sylfaen"/>
          <w:szCs w:val="20"/>
        </w:rPr>
        <w:t xml:space="preserve"> were not ordinary, but spiritual. Paul did not mean that these items were nonphysical but that they came from the Spirit and had spiritual power for God’s people” (Max Anders, gen. ed., Richard L. Pratt, Jr., author </w:t>
      </w:r>
      <w:r w:rsidRPr="002473B2">
        <w:rPr>
          <w:rFonts w:ascii="Sylfaen" w:hAnsi="Sylfaen"/>
          <w:i/>
          <w:iCs/>
          <w:szCs w:val="20"/>
        </w:rPr>
        <w:t>Holman New Testament Commentary,</w:t>
      </w:r>
      <w:r w:rsidRPr="002473B2">
        <w:rPr>
          <w:rFonts w:ascii="Sylfaen" w:hAnsi="Sylfaen"/>
          <w:szCs w:val="20"/>
        </w:rPr>
        <w:t xml:space="preserve"> I &amp; II Corinthians, (Nashville, Tennessee, c1973), 162).</w:t>
      </w:r>
    </w:p>
  </w:footnote>
  <w:footnote w:id="14">
    <w:p w14:paraId="64BD05BD" w14:textId="1624368C" w:rsidR="00DA68BD" w:rsidRDefault="00DA68BD" w:rsidP="00014460">
      <w:pPr>
        <w:pStyle w:val="FootnoteText"/>
        <w:jc w:val="both"/>
        <w:rPr>
          <w:rFonts w:ascii="Sylfaen" w:hAnsi="Sylfaen"/>
          <w:szCs w:val="20"/>
        </w:rPr>
      </w:pPr>
      <w:r w:rsidRPr="00DA68BD">
        <w:rPr>
          <w:rStyle w:val="FootnoteReference"/>
          <w:rFonts w:ascii="Sylfaen" w:hAnsi="Sylfaen"/>
        </w:rPr>
        <w:footnoteRef/>
      </w:r>
      <w:r w:rsidRPr="00DA68BD">
        <w:rPr>
          <w:rFonts w:ascii="Sylfaen" w:hAnsi="Sylfaen"/>
        </w:rPr>
        <w:t xml:space="preserve"> </w:t>
      </w:r>
      <w:r w:rsidRPr="00DA68BD">
        <w:rPr>
          <w:rFonts w:ascii="Sylfaen" w:hAnsi="Sylfaen"/>
          <w:szCs w:val="20"/>
        </w:rPr>
        <w:t>“Paul goes on to point out that the Israelites also had a “type” corresponding to the Lord’s Supper. This is the first time in Christian history that the two sacraments are linked together” (</w:t>
      </w:r>
      <w:r w:rsidRPr="00DA68BD">
        <w:rPr>
          <w:rFonts w:ascii="Sylfaen" w:hAnsi="Sylfaen"/>
          <w:i/>
          <w:iCs/>
          <w:szCs w:val="20"/>
        </w:rPr>
        <w:t>The Interpreter’s Bible,</w:t>
      </w:r>
      <w:r w:rsidRPr="00DA68BD">
        <w:rPr>
          <w:rFonts w:ascii="Sylfaen" w:hAnsi="Sylfaen"/>
          <w:szCs w:val="20"/>
        </w:rPr>
        <w:t xml:space="preserve"> v. X, 108).</w:t>
      </w:r>
    </w:p>
    <w:p w14:paraId="1E8238BE" w14:textId="04C78F98" w:rsidR="00014460" w:rsidRPr="00DA68BD" w:rsidRDefault="00014460" w:rsidP="00014460">
      <w:pPr>
        <w:pStyle w:val="FootnoteText"/>
        <w:jc w:val="both"/>
        <w:rPr>
          <w:rFonts w:ascii="Sylfaen" w:hAnsi="Sylfaen"/>
          <w:lang w:val="en-US"/>
        </w:rPr>
      </w:pPr>
      <w:r w:rsidRPr="00014460">
        <w:rPr>
          <w:rFonts w:ascii="Sylfaen" w:hAnsi="Sylfaen"/>
          <w:szCs w:val="20"/>
        </w:rPr>
        <w:t>“In 1 Cor. 10:3 f. Paul makes reference to the Exodus miracle of Exod. 17 and Num. 20. The fathers in the wilderness “all ate the same spiritual food and all drank the same spiritual drink. For they drank from the spiritual Rock which followed them, and the Rock was Christ.” By comparing Exod. 17 and Num. 20 the rabbis had already come to the conclusion that the rock which provided the water had followed the Israelites on their journey (SB III 406); but Judaism does not know a messianic interpretation of the passage. Paul is the first to interpret the OT miracle in the light of the Lord’s Supper, which is spiritual food and drink having its origin in Christ. This OT narrative is in the apostle’s view a type foreshadowing the Christ-event. For clarification of the passage attention has been drawn to Jn. 7:37; but the sayings of the Johannine Christ about the bread of life should also be noted, since these likewise allude to the miraculous feeding in the wilderness (manna, Jn. 6:35–58; Bread). The early fathers of the church interpreted this passage with reference to the Lord’s Supper” (</w:t>
      </w:r>
      <w:r w:rsidRPr="00014460">
        <w:rPr>
          <w:rFonts w:ascii="Sylfaen" w:hAnsi="Sylfaen"/>
          <w:i/>
          <w:iCs/>
          <w:szCs w:val="20"/>
        </w:rPr>
        <w:t>The New International Dictionary of New Testament Theology,</w:t>
      </w:r>
      <w:r w:rsidRPr="00014460">
        <w:rPr>
          <w:rFonts w:ascii="Sylfaen" w:hAnsi="Sylfaen"/>
          <w:szCs w:val="20"/>
        </w:rPr>
        <w:t xml:space="preserve"> v. III, 383).</w:t>
      </w:r>
    </w:p>
  </w:footnote>
  <w:footnote w:id="15">
    <w:p w14:paraId="293AB901" w14:textId="193D5F81" w:rsidR="00014460" w:rsidRPr="00014460" w:rsidRDefault="00014460" w:rsidP="00014460">
      <w:pPr>
        <w:pStyle w:val="FootnoteText"/>
        <w:jc w:val="both"/>
        <w:rPr>
          <w:rFonts w:ascii="Sylfaen" w:hAnsi="Sylfaen"/>
          <w:lang w:val="en-US"/>
        </w:rPr>
      </w:pPr>
      <w:r w:rsidRPr="00014460">
        <w:rPr>
          <w:rStyle w:val="FootnoteReference"/>
          <w:rFonts w:ascii="Sylfaen" w:hAnsi="Sylfaen"/>
        </w:rPr>
        <w:footnoteRef/>
      </w:r>
      <w:r w:rsidRPr="00014460">
        <w:rPr>
          <w:rFonts w:ascii="Sylfaen" w:hAnsi="Sylfaen"/>
        </w:rPr>
        <w:t xml:space="preserve"> </w:t>
      </w:r>
      <w:r w:rsidRPr="00014460">
        <w:rPr>
          <w:rFonts w:ascii="Sylfaen" w:hAnsi="Sylfaen"/>
          <w:szCs w:val="20"/>
        </w:rPr>
        <w:t>“The memory of the miracle recorded in Exod. 17:1–6, Num. 20:1–13, where Moses brought water out of the rock by striking it at God’s command, remained alive at a later period (e.g. Neh. 9:15; Ps. 78 [77]:15f.)” (</w:t>
      </w:r>
      <w:r w:rsidRPr="00014460">
        <w:rPr>
          <w:rFonts w:ascii="Sylfaen" w:hAnsi="Sylfaen"/>
          <w:i/>
          <w:iCs/>
          <w:szCs w:val="20"/>
        </w:rPr>
        <w:t xml:space="preserve">The New International Dictionary of New Testament Theology, </w:t>
      </w:r>
      <w:r w:rsidRPr="00014460">
        <w:rPr>
          <w:rFonts w:ascii="Sylfaen" w:hAnsi="Sylfaen"/>
          <w:szCs w:val="20"/>
        </w:rPr>
        <w:t>v. III, 382).</w:t>
      </w:r>
    </w:p>
  </w:footnote>
  <w:footnote w:id="16">
    <w:p w14:paraId="222264B8" w14:textId="2FFA2E3B" w:rsidR="002A2063" w:rsidRPr="00AB79BB" w:rsidRDefault="002A2063" w:rsidP="00AB79BB">
      <w:pPr>
        <w:pStyle w:val="FootnoteText"/>
        <w:jc w:val="both"/>
        <w:rPr>
          <w:rFonts w:ascii="Sylfaen" w:hAnsi="Sylfaen"/>
          <w:lang w:val="en-US"/>
        </w:rPr>
      </w:pPr>
      <w:r w:rsidRPr="00AB79BB">
        <w:rPr>
          <w:rStyle w:val="FootnoteReference"/>
          <w:rFonts w:ascii="Sylfaen" w:hAnsi="Sylfaen"/>
        </w:rPr>
        <w:footnoteRef/>
      </w:r>
      <w:r w:rsidRPr="00AB79BB">
        <w:rPr>
          <w:rFonts w:ascii="Sylfaen" w:hAnsi="Sylfaen"/>
        </w:rPr>
        <w:t xml:space="preserve"> </w:t>
      </w:r>
      <w:r w:rsidR="00AB79BB" w:rsidRPr="00AB79BB">
        <w:rPr>
          <w:rFonts w:ascii="Sylfaen" w:hAnsi="Sylfaen"/>
          <w:szCs w:val="20"/>
        </w:rPr>
        <w:t>“In the Old Testament, “rock” frequently appeared as a metaphor closely associated with God. It focused on his life-giving role as a victorious warrior-king who saved his people from their enemies” (</w:t>
      </w:r>
      <w:r w:rsidR="00AB79BB" w:rsidRPr="00AB79BB">
        <w:rPr>
          <w:rFonts w:ascii="Sylfaen" w:hAnsi="Sylfaen"/>
          <w:i/>
          <w:iCs/>
          <w:szCs w:val="20"/>
        </w:rPr>
        <w:t>Holman New Testament Commentary,</w:t>
      </w:r>
      <w:r w:rsidR="00AB79BB" w:rsidRPr="00AB79BB">
        <w:rPr>
          <w:rFonts w:ascii="Sylfaen" w:hAnsi="Sylfaen"/>
          <w:szCs w:val="20"/>
        </w:rPr>
        <w:t xml:space="preserve"> I &amp; II Corinthians, 162).</w:t>
      </w:r>
    </w:p>
  </w:footnote>
  <w:footnote w:id="17">
    <w:p w14:paraId="0EEF6F1E" w14:textId="7B03658F" w:rsidR="00AB79BB" w:rsidRPr="000D783F" w:rsidRDefault="00AB79BB" w:rsidP="000D783F">
      <w:pPr>
        <w:pStyle w:val="FootnoteText"/>
        <w:jc w:val="both"/>
        <w:rPr>
          <w:rFonts w:ascii="Sylfaen" w:hAnsi="Sylfaen"/>
          <w:lang w:val="en-US"/>
        </w:rPr>
      </w:pPr>
      <w:r w:rsidRPr="000D783F">
        <w:rPr>
          <w:rStyle w:val="FootnoteReference"/>
          <w:rFonts w:ascii="Sylfaen" w:hAnsi="Sylfaen"/>
        </w:rPr>
        <w:footnoteRef/>
      </w:r>
      <w:r w:rsidRPr="000D783F">
        <w:rPr>
          <w:rFonts w:ascii="Sylfaen" w:hAnsi="Sylfaen"/>
        </w:rPr>
        <w:t xml:space="preserve"> </w:t>
      </w:r>
      <w:r w:rsidR="000D783F" w:rsidRPr="000D783F">
        <w:rPr>
          <w:rFonts w:ascii="Sylfaen" w:hAnsi="Sylfaen"/>
          <w:szCs w:val="20"/>
        </w:rPr>
        <w:t>“The reference to Peter as a rock has a real Jewish tone; a rabbinical saying reports that when God saw Abraham, he said that he had found a rock on which he could build the world (Yalkuth 1.766)” (</w:t>
      </w:r>
      <w:r w:rsidR="000D783F" w:rsidRPr="000D783F">
        <w:rPr>
          <w:rFonts w:ascii="Sylfaen" w:hAnsi="Sylfaen"/>
          <w:i/>
          <w:iCs/>
          <w:szCs w:val="20"/>
        </w:rPr>
        <w:t xml:space="preserve">The Interpreter’s Dictionary of the Bible, </w:t>
      </w:r>
      <w:r w:rsidR="000D783F" w:rsidRPr="000D783F">
        <w:rPr>
          <w:rFonts w:ascii="Sylfaen" w:hAnsi="Sylfaen"/>
          <w:szCs w:val="20"/>
        </w:rPr>
        <w:t>v. 3, 752).</w:t>
      </w:r>
    </w:p>
  </w:footnote>
  <w:footnote w:id="18">
    <w:p w14:paraId="40342580" w14:textId="77777777" w:rsidR="004C2E9D" w:rsidRPr="005F0ABD" w:rsidRDefault="000D783F" w:rsidP="004C2E9D">
      <w:pPr>
        <w:jc w:val="both"/>
        <w:rPr>
          <w:rFonts w:ascii="Sylfaen" w:hAnsi="Sylfaen"/>
          <w:sz w:val="20"/>
          <w:szCs w:val="20"/>
        </w:rPr>
      </w:pPr>
      <w:r w:rsidRPr="005F0ABD">
        <w:rPr>
          <w:rStyle w:val="FootnoteReference"/>
          <w:rFonts w:ascii="Sylfaen" w:hAnsi="Sylfaen"/>
          <w:sz w:val="20"/>
          <w:szCs w:val="20"/>
        </w:rPr>
        <w:footnoteRef/>
      </w:r>
      <w:r w:rsidRPr="005F0ABD">
        <w:rPr>
          <w:rFonts w:ascii="Sylfaen" w:hAnsi="Sylfaen"/>
          <w:sz w:val="20"/>
          <w:szCs w:val="20"/>
        </w:rPr>
        <w:t xml:space="preserve"> </w:t>
      </w:r>
      <w:r w:rsidR="004C2E9D" w:rsidRPr="005F0ABD">
        <w:rPr>
          <w:rFonts w:ascii="Sylfaen" w:hAnsi="Sylfaen"/>
          <w:sz w:val="20"/>
          <w:szCs w:val="20"/>
        </w:rPr>
        <w:t xml:space="preserve">Jewish haggada describes how the rock accompanied the Israelites all through their march (See James Hastings, ed. </w:t>
      </w:r>
      <w:r w:rsidR="004C2E9D" w:rsidRPr="005F0ABD">
        <w:rPr>
          <w:rFonts w:ascii="Sylfaen" w:hAnsi="Sylfaen"/>
          <w:i/>
          <w:iCs/>
          <w:sz w:val="20"/>
          <w:szCs w:val="20"/>
        </w:rPr>
        <w:t>Dictionary of the Bible,</w:t>
      </w:r>
      <w:r w:rsidR="004C2E9D" w:rsidRPr="005F0ABD">
        <w:rPr>
          <w:rFonts w:ascii="Sylfaen" w:hAnsi="Sylfaen"/>
          <w:sz w:val="20"/>
          <w:szCs w:val="20"/>
        </w:rPr>
        <w:t xml:space="preserve"> v. IV, (New York, c1911), 290).</w:t>
      </w:r>
    </w:p>
    <w:p w14:paraId="2B8F66D5" w14:textId="77777777" w:rsidR="004C2E9D" w:rsidRPr="005F0ABD" w:rsidRDefault="004C2E9D" w:rsidP="004C2E9D">
      <w:pPr>
        <w:jc w:val="both"/>
        <w:rPr>
          <w:rFonts w:ascii="Sylfaen" w:hAnsi="Sylfaen"/>
          <w:sz w:val="20"/>
          <w:szCs w:val="20"/>
        </w:rPr>
      </w:pPr>
      <w:r w:rsidRPr="005F0ABD">
        <w:rPr>
          <w:rFonts w:ascii="Sylfaen" w:hAnsi="Sylfaen"/>
          <w:sz w:val="20"/>
          <w:szCs w:val="20"/>
        </w:rPr>
        <w:t>“Targ. Onkelos, on Num. 21:17, reports that the rock Moses struck thereafter followed Israel on its pilgrimage to provide it with water. In I Cor. 10:4, Paul reveals his knowledge of this legend and seems to take it seriously, “The supernatural Rock which followed them”” (</w:t>
      </w:r>
      <w:r w:rsidRPr="005F0ABD">
        <w:rPr>
          <w:rFonts w:ascii="Sylfaen" w:hAnsi="Sylfaen"/>
          <w:i/>
          <w:iCs/>
          <w:sz w:val="20"/>
          <w:szCs w:val="20"/>
        </w:rPr>
        <w:t>The Interpreter’s Bible,</w:t>
      </w:r>
      <w:r w:rsidRPr="005F0ABD">
        <w:rPr>
          <w:rFonts w:ascii="Sylfaen" w:hAnsi="Sylfaen"/>
          <w:sz w:val="20"/>
          <w:szCs w:val="20"/>
        </w:rPr>
        <w:t xml:space="preserve"> v. I, 959).</w:t>
      </w:r>
    </w:p>
    <w:p w14:paraId="3768D039" w14:textId="77777777" w:rsidR="004C2E9D" w:rsidRPr="005F0ABD" w:rsidRDefault="004C2E9D" w:rsidP="005F0ABD">
      <w:pPr>
        <w:jc w:val="both"/>
        <w:rPr>
          <w:rFonts w:ascii="Sylfaen" w:hAnsi="Sylfaen"/>
          <w:sz w:val="20"/>
          <w:szCs w:val="20"/>
        </w:rPr>
      </w:pPr>
      <w:r w:rsidRPr="005F0ABD">
        <w:rPr>
          <w:rFonts w:ascii="Sylfaen" w:hAnsi="Sylfaen"/>
          <w:sz w:val="20"/>
          <w:szCs w:val="20"/>
        </w:rPr>
        <w:t>“Paul says the rock that gave water to Israel “followed them” (1 Cor 10:7). Although this is not recorded in the Old Testament, Talmudic literature describes the rock climbing mountains and descending into the valleys with the Israelites as they traveled (</w:t>
      </w:r>
      <w:r w:rsidRPr="005F0ABD">
        <w:rPr>
          <w:rFonts w:ascii="Sylfaen" w:hAnsi="Sylfaen"/>
          <w:i/>
          <w:iCs/>
          <w:sz w:val="20"/>
          <w:szCs w:val="20"/>
        </w:rPr>
        <w:t>Tosephta Sukka</w:t>
      </w:r>
      <w:r w:rsidRPr="005F0ABD">
        <w:rPr>
          <w:rFonts w:ascii="Sylfaen" w:hAnsi="Sylfaen"/>
          <w:sz w:val="20"/>
          <w:szCs w:val="20"/>
        </w:rPr>
        <w:t xml:space="preserve"> 3:11). By going on to say “… and the rock was Christ” (1 Cor 10:7), Paul strengthens the connection between God’s saving action in the exodus and in Christ” (Kevin Quast, </w:t>
      </w:r>
      <w:r w:rsidRPr="005F0ABD">
        <w:rPr>
          <w:rFonts w:ascii="Sylfaen" w:hAnsi="Sylfaen"/>
          <w:i/>
          <w:iCs/>
          <w:sz w:val="20"/>
          <w:szCs w:val="20"/>
        </w:rPr>
        <w:t>Reading the Corinthian Correspondence,</w:t>
      </w:r>
      <w:r w:rsidRPr="005F0ABD">
        <w:rPr>
          <w:rFonts w:ascii="Sylfaen" w:hAnsi="Sylfaen"/>
          <w:sz w:val="20"/>
          <w:szCs w:val="20"/>
        </w:rPr>
        <w:t xml:space="preserve"> 64).</w:t>
      </w:r>
    </w:p>
    <w:p w14:paraId="79CFDE44" w14:textId="45A55700" w:rsidR="000D783F" w:rsidRPr="005F0ABD" w:rsidRDefault="004C2E9D" w:rsidP="005F0ABD">
      <w:pPr>
        <w:jc w:val="both"/>
        <w:rPr>
          <w:rFonts w:ascii="Sylfaen" w:hAnsi="Sylfaen"/>
          <w:sz w:val="20"/>
          <w:szCs w:val="20"/>
        </w:rPr>
      </w:pPr>
      <w:r w:rsidRPr="005F0ABD">
        <w:rPr>
          <w:rFonts w:ascii="Sylfaen" w:hAnsi="Sylfaen"/>
          <w:sz w:val="20"/>
          <w:szCs w:val="20"/>
        </w:rPr>
        <w:t xml:space="preserve">“Their [Jews, N.A.] deduction was that the </w:t>
      </w:r>
      <w:r w:rsidRPr="005F0ABD">
        <w:rPr>
          <w:rFonts w:ascii="Sylfaen" w:hAnsi="Sylfaen"/>
          <w:b/>
          <w:bCs/>
          <w:sz w:val="20"/>
          <w:szCs w:val="20"/>
        </w:rPr>
        <w:t>Rock</w:t>
      </w:r>
      <w:r w:rsidRPr="005F0ABD">
        <w:rPr>
          <w:rFonts w:ascii="Sylfaen" w:hAnsi="Sylfaen"/>
          <w:sz w:val="20"/>
          <w:szCs w:val="20"/>
        </w:rPr>
        <w:t xml:space="preserve"> had </w:t>
      </w:r>
      <w:r w:rsidRPr="005F0ABD">
        <w:rPr>
          <w:rFonts w:ascii="Sylfaen" w:hAnsi="Sylfaen"/>
          <w:b/>
          <w:bCs/>
          <w:sz w:val="20"/>
          <w:szCs w:val="20"/>
        </w:rPr>
        <w:t>followed</w:t>
      </w:r>
      <w:r w:rsidRPr="005F0ABD">
        <w:rPr>
          <w:rFonts w:ascii="Sylfaen" w:hAnsi="Sylfaen"/>
          <w:sz w:val="20"/>
          <w:szCs w:val="20"/>
        </w:rPr>
        <w:t xml:space="preserve"> the Israelites. Paul adds a further touch to this midrash in identifying the rock with Messiah” (</w:t>
      </w:r>
      <w:r w:rsidRPr="005F0ABD">
        <w:rPr>
          <w:rFonts w:ascii="Sylfaen" w:hAnsi="Sylfaen"/>
          <w:i/>
          <w:iCs/>
          <w:sz w:val="20"/>
          <w:szCs w:val="20"/>
        </w:rPr>
        <w:t>The Interpreter’s Bible,</w:t>
      </w:r>
      <w:r w:rsidRPr="005F0ABD">
        <w:rPr>
          <w:rFonts w:ascii="Sylfaen" w:hAnsi="Sylfaen"/>
          <w:sz w:val="20"/>
          <w:szCs w:val="20"/>
        </w:rPr>
        <w:t xml:space="preserve"> v. X, 108–109).</w:t>
      </w:r>
    </w:p>
  </w:footnote>
  <w:footnote w:id="19">
    <w:p w14:paraId="534E347A" w14:textId="6A2338C2" w:rsidR="005F0ABD" w:rsidRPr="005F0ABD" w:rsidRDefault="005F0ABD" w:rsidP="005F0ABD">
      <w:pPr>
        <w:pStyle w:val="FootnoteText"/>
        <w:rPr>
          <w:rFonts w:ascii="Sylfaen" w:hAnsi="Sylfaen"/>
          <w:lang w:val="en-US"/>
        </w:rPr>
      </w:pPr>
      <w:r w:rsidRPr="005F0ABD">
        <w:rPr>
          <w:rStyle w:val="FootnoteReference"/>
          <w:rFonts w:ascii="Sylfaen" w:hAnsi="Sylfaen"/>
        </w:rPr>
        <w:footnoteRef/>
      </w:r>
      <w:r w:rsidRPr="005F0ABD">
        <w:rPr>
          <w:rFonts w:ascii="Sylfaen" w:hAnsi="Sylfaen"/>
        </w:rPr>
        <w:t xml:space="preserve"> </w:t>
      </w:r>
      <w:r w:rsidRPr="005F0ABD">
        <w:rPr>
          <w:rFonts w:ascii="Sylfaen" w:hAnsi="Sylfaen"/>
          <w:szCs w:val="20"/>
        </w:rPr>
        <w:t xml:space="preserve">St. Ephrem, </w:t>
      </w:r>
      <w:r w:rsidRPr="005F0ABD">
        <w:rPr>
          <w:rFonts w:ascii="Sylfaen" w:hAnsi="Sylfaen"/>
          <w:i/>
          <w:iCs/>
          <w:szCs w:val="20"/>
        </w:rPr>
        <w:t xml:space="preserve">Interpretation of the Fourteen Letters of Paul </w:t>
      </w:r>
      <w:r w:rsidRPr="005F0ABD">
        <w:rPr>
          <w:rFonts w:ascii="Sylfaen" w:hAnsi="Sylfaen"/>
          <w:szCs w:val="20"/>
        </w:rPr>
        <w:t>[in Armenian], (Venice: St. Lazar, 1836), 68–69.</w:t>
      </w:r>
    </w:p>
  </w:footnote>
  <w:footnote w:id="20">
    <w:p w14:paraId="0792A3FB" w14:textId="771D4007" w:rsidR="00E97EE4" w:rsidRPr="00E97EE4" w:rsidRDefault="00E97EE4" w:rsidP="00E97EE4">
      <w:pPr>
        <w:pStyle w:val="FootnoteText"/>
        <w:jc w:val="both"/>
        <w:rPr>
          <w:rFonts w:ascii="Sylfaen" w:hAnsi="Sylfaen"/>
          <w:lang w:val="en-US"/>
        </w:rPr>
      </w:pPr>
      <w:r w:rsidRPr="00E97EE4">
        <w:rPr>
          <w:rStyle w:val="FootnoteReference"/>
          <w:rFonts w:ascii="Sylfaen" w:hAnsi="Sylfaen"/>
        </w:rPr>
        <w:footnoteRef/>
      </w:r>
      <w:r w:rsidRPr="00E97EE4">
        <w:rPr>
          <w:rFonts w:ascii="Sylfaen" w:hAnsi="Sylfaen"/>
        </w:rPr>
        <w:t xml:space="preserve"> </w:t>
      </w:r>
      <w:r w:rsidRPr="00E97EE4">
        <w:rPr>
          <w:rFonts w:ascii="Sylfaen" w:hAnsi="Sylfaen"/>
          <w:szCs w:val="20"/>
        </w:rPr>
        <w:t>The Armenian Church has seven sacraments: Baptism, Confirmation, Holy Communion (Holy Eucharist), Penance, Ordination, Holy Matrimony and Last Unction [The last one is currently reserved only to the clergy and substituted with Prayer for the Sick for the laity].</w:t>
      </w:r>
    </w:p>
  </w:footnote>
  <w:footnote w:id="21">
    <w:p w14:paraId="36E125B4" w14:textId="139F27E1" w:rsidR="00E0048A" w:rsidRPr="00E0048A" w:rsidRDefault="00E0048A" w:rsidP="00E0048A">
      <w:pPr>
        <w:pStyle w:val="FootnoteText"/>
        <w:jc w:val="both"/>
        <w:rPr>
          <w:rFonts w:ascii="Sylfaen" w:hAnsi="Sylfaen"/>
          <w:lang w:val="en-US"/>
        </w:rPr>
      </w:pPr>
      <w:r w:rsidRPr="00E0048A">
        <w:rPr>
          <w:rStyle w:val="FootnoteReference"/>
          <w:rFonts w:ascii="Sylfaen" w:hAnsi="Sylfaen"/>
        </w:rPr>
        <w:footnoteRef/>
      </w:r>
      <w:r w:rsidRPr="00E0048A">
        <w:rPr>
          <w:rFonts w:ascii="Sylfaen" w:hAnsi="Sylfaen"/>
        </w:rPr>
        <w:t xml:space="preserve"> </w:t>
      </w:r>
      <w:r w:rsidRPr="00E0048A">
        <w:rPr>
          <w:rFonts w:ascii="Sylfaen" w:hAnsi="Sylfaen"/>
          <w:szCs w:val="20"/>
        </w:rPr>
        <w:t>This historical milestone was celebrated in year 2001 as the 1700</w:t>
      </w:r>
      <w:r w:rsidRPr="00E0048A">
        <w:rPr>
          <w:rFonts w:ascii="Sylfaen" w:hAnsi="Sylfaen"/>
          <w:szCs w:val="20"/>
          <w:vertAlign w:val="superscript"/>
        </w:rPr>
        <w:t>th</w:t>
      </w:r>
      <w:r w:rsidRPr="00E0048A">
        <w:rPr>
          <w:rFonts w:ascii="Sylfaen" w:hAnsi="Sylfaen"/>
          <w:szCs w:val="20"/>
        </w:rPr>
        <w:t xml:space="preserve"> Anniversary of the Declaration of Christianity by Armenians, because “The Christianization of Armenia was the greatest spiritual revolution ever to take place in the history of our nation. This landmark event gave a new identity, a new content and a new meaning to Armenian life. It provided a new orientation and purpose to Armenian history. It brought a new quality of life in Christ” (Aram I, </w:t>
      </w:r>
      <w:r w:rsidRPr="00E0048A">
        <w:rPr>
          <w:rFonts w:ascii="Sylfaen" w:hAnsi="Sylfaen"/>
          <w:i/>
          <w:iCs/>
          <w:szCs w:val="20"/>
        </w:rPr>
        <w:t>The Armenian Church beyond the 1700</w:t>
      </w:r>
      <w:r w:rsidRPr="00E0048A">
        <w:rPr>
          <w:rFonts w:ascii="Sylfaen" w:hAnsi="Sylfaen"/>
          <w:i/>
          <w:iCs/>
          <w:szCs w:val="20"/>
          <w:vertAlign w:val="superscript"/>
        </w:rPr>
        <w:t>th</w:t>
      </w:r>
      <w:r w:rsidRPr="00E0048A">
        <w:rPr>
          <w:rFonts w:ascii="Sylfaen" w:hAnsi="Sylfaen"/>
          <w:i/>
          <w:iCs/>
          <w:szCs w:val="20"/>
        </w:rPr>
        <w:t xml:space="preserve"> Anniversary, </w:t>
      </w:r>
      <w:r w:rsidRPr="00E0048A">
        <w:rPr>
          <w:rFonts w:ascii="Sylfaen" w:hAnsi="Sylfaen"/>
          <w:szCs w:val="20"/>
        </w:rPr>
        <w:t>(Antelias-Lebanon: Armenian Catholicosate of Cilicia, c2001), 12).</w:t>
      </w:r>
    </w:p>
  </w:footnote>
  <w:footnote w:id="22">
    <w:p w14:paraId="6FB51EFB" w14:textId="3FBB73B9" w:rsidR="00442DEA" w:rsidRPr="00442DEA" w:rsidRDefault="00442DEA" w:rsidP="00442DEA">
      <w:pPr>
        <w:pStyle w:val="FootnoteText"/>
        <w:jc w:val="both"/>
        <w:rPr>
          <w:rFonts w:ascii="Sylfaen" w:hAnsi="Sylfaen"/>
          <w:lang w:val="en-US"/>
        </w:rPr>
      </w:pPr>
      <w:r w:rsidRPr="00442DEA">
        <w:rPr>
          <w:rStyle w:val="FootnoteReference"/>
          <w:rFonts w:ascii="Sylfaen" w:hAnsi="Sylfaen"/>
        </w:rPr>
        <w:footnoteRef/>
      </w:r>
      <w:r w:rsidRPr="00442DEA">
        <w:rPr>
          <w:rFonts w:ascii="Sylfaen" w:hAnsi="Sylfaen"/>
        </w:rPr>
        <w:t xml:space="preserve"> </w:t>
      </w:r>
      <w:r w:rsidRPr="00442DEA">
        <w:rPr>
          <w:rFonts w:ascii="Sylfaen" w:hAnsi="Sylfaen"/>
          <w:szCs w:val="20"/>
        </w:rPr>
        <w:t xml:space="preserve">Recently, a new initiative was taken aiming to the better organization of the Armenian Diaspora. Upon the initiative of the largest Armenian Diaspora community of Russia, where 2.5 million Armenians live, on October 7, 2003, in Moscow, the World Armenian Organization was created. 138 communities and organizations from 52 countries participated in this enterprise. The creation of the World Armenian Organization is the first attempt to unite Armenians all over the world. The Declaration adopted at the Congress, convened October 5–8, 2003, says: “Armenia is the historical motherland of all Armenians of the world. …The strengthening of security and economic potential of the Armenian state” are called priority trends in the activity of the World Armenian Organization in the document. The World Armenian Organization also intends to promote the international legal recognition of the genocide against Armenians in the beginning of the previous century and the political settlement of the conflict around Nagorno Karabagh [ref. to land dispute with Azerbaijan, N.A.]. The World Armenian Organization intends to fulfill these tasks in compliance with the principles of international law, “cooperation of peoples, respect of human rights and rights of nations for the free development and freedom of conscience.” (Source: </w:t>
      </w:r>
      <w:hyperlink r:id="rId1" w:history="1">
        <w:r w:rsidRPr="00442DEA">
          <w:rPr>
            <w:rStyle w:val="Hyperlink"/>
            <w:rFonts w:ascii="Sylfaen" w:hAnsi="Sylfaen"/>
            <w:szCs w:val="20"/>
          </w:rPr>
          <w:t>http://groong.usc.edu/news/msg75013.html</w:t>
        </w:r>
      </w:hyperlink>
      <w:r w:rsidRPr="00442DEA">
        <w:rPr>
          <w:rFonts w:ascii="Sylfaen" w:hAnsi="Sylfaen"/>
          <w:szCs w:val="20"/>
        </w:rPr>
        <w:t>).</w:t>
      </w:r>
    </w:p>
  </w:footnote>
  <w:footnote w:id="23">
    <w:p w14:paraId="51153612" w14:textId="541F15D3" w:rsidR="00D63C55" w:rsidRPr="00D63C55" w:rsidRDefault="00D63C55" w:rsidP="00D63C55">
      <w:pPr>
        <w:pStyle w:val="FootnoteText"/>
        <w:jc w:val="both"/>
        <w:rPr>
          <w:rFonts w:ascii="Sylfaen" w:hAnsi="Sylfaen"/>
          <w:lang w:val="en-US"/>
        </w:rPr>
      </w:pPr>
      <w:r w:rsidRPr="00D63C55">
        <w:rPr>
          <w:rStyle w:val="FootnoteReference"/>
          <w:rFonts w:ascii="Sylfaen" w:hAnsi="Sylfaen"/>
        </w:rPr>
        <w:footnoteRef/>
      </w:r>
      <w:r w:rsidRPr="00D63C55">
        <w:rPr>
          <w:rFonts w:ascii="Sylfaen" w:hAnsi="Sylfaen"/>
        </w:rPr>
        <w:t xml:space="preserve"> </w:t>
      </w:r>
      <w:r w:rsidRPr="00D63C55">
        <w:rPr>
          <w:rFonts w:ascii="Sylfaen" w:hAnsi="Sylfaen"/>
          <w:szCs w:val="20"/>
        </w:rPr>
        <w:t>“The Armenian Church is a national church. This is one of its most characteristic marks and salient features. … The Armenian Church has played a crucial part in the Amenianization process and, it, in turn, was totally Armenianized already in the 5</w:t>
      </w:r>
      <w:r w:rsidRPr="00D63C55">
        <w:rPr>
          <w:rFonts w:ascii="Sylfaen" w:hAnsi="Sylfaen"/>
          <w:szCs w:val="20"/>
          <w:vertAlign w:val="superscript"/>
        </w:rPr>
        <w:t>th</w:t>
      </w:r>
      <w:r w:rsidRPr="00D63C55">
        <w:rPr>
          <w:rFonts w:ascii="Sylfaen" w:hAnsi="Sylfaen"/>
          <w:szCs w:val="20"/>
        </w:rPr>
        <w:t xml:space="preserve"> century with the invention of the Armenian alphabet and the development of a church-based Armenian culture. …Undoubtedly, the Armenian Church should remain a national church with its people-based structures and people-oriented mission. But, the national identity and role of the Church, in my opinion, have to be seen in the right perspective. What kind of church do we want to project for tomorrow? Do we want a national church or a nationalistic church? These are of course quite different things. This critical and complex issue deserves a focal attention as we enter a new period in the history of our Church” (Aram I, </w:t>
      </w:r>
      <w:r w:rsidRPr="00D63C55">
        <w:rPr>
          <w:rFonts w:ascii="Sylfaen" w:hAnsi="Sylfaen"/>
          <w:i/>
          <w:iCs/>
          <w:szCs w:val="20"/>
        </w:rPr>
        <w:t>The Armenian Church beyond the 1700</w:t>
      </w:r>
      <w:r w:rsidRPr="00D63C55">
        <w:rPr>
          <w:rFonts w:ascii="Sylfaen" w:hAnsi="Sylfaen"/>
          <w:i/>
          <w:iCs/>
          <w:szCs w:val="20"/>
          <w:vertAlign w:val="superscript"/>
        </w:rPr>
        <w:t>th</w:t>
      </w:r>
      <w:r w:rsidRPr="00D63C55">
        <w:rPr>
          <w:rFonts w:ascii="Sylfaen" w:hAnsi="Sylfaen"/>
          <w:i/>
          <w:iCs/>
          <w:szCs w:val="20"/>
        </w:rPr>
        <w:t xml:space="preserve"> Anniversary, </w:t>
      </w:r>
      <w:r w:rsidRPr="00D63C55">
        <w:rPr>
          <w:rFonts w:ascii="Sylfaen" w:hAnsi="Sylfaen"/>
          <w:szCs w:val="20"/>
        </w:rPr>
        <w:t>63–64).</w:t>
      </w:r>
    </w:p>
  </w:footnote>
  <w:footnote w:id="24">
    <w:p w14:paraId="2B86904A" w14:textId="77777777" w:rsidR="00DC7F39" w:rsidRPr="00DF1A93" w:rsidRDefault="00DC7F39" w:rsidP="00DC7F39">
      <w:pPr>
        <w:pStyle w:val="BodyText"/>
        <w:spacing w:after="0"/>
        <w:jc w:val="both"/>
        <w:rPr>
          <w:rFonts w:ascii="Sylfaen" w:hAnsi="Sylfaen"/>
          <w:sz w:val="20"/>
          <w:szCs w:val="20"/>
        </w:rPr>
      </w:pPr>
      <w:r w:rsidRPr="00DF1A93">
        <w:rPr>
          <w:rStyle w:val="FootnoteReference"/>
          <w:rFonts w:ascii="Sylfaen" w:hAnsi="Sylfaen"/>
          <w:sz w:val="20"/>
          <w:szCs w:val="20"/>
        </w:rPr>
        <w:footnoteRef/>
      </w:r>
      <w:r w:rsidRPr="00DF1A93">
        <w:rPr>
          <w:rFonts w:ascii="Sylfaen" w:hAnsi="Sylfaen"/>
          <w:sz w:val="20"/>
          <w:szCs w:val="20"/>
        </w:rPr>
        <w:t xml:space="preserve"> </w:t>
      </w:r>
      <w:r w:rsidRPr="00DF1A93">
        <w:rPr>
          <w:rFonts w:ascii="Sylfaen" w:hAnsi="Sylfaen"/>
          <w:sz w:val="20"/>
          <w:szCs w:val="20"/>
        </w:rPr>
        <w:t xml:space="preserve">Vartan Gregorian, a prominent scholar and current President of the Carnegie Corporation of New York, captures this spirit in his recent book. I quote two extensive passages: “Standing in the crowded and noisy church, I wondered about the role of Christianity and the Church in shaping the national identity and consciousness of Armenians; to be an Armenian and Christian had become inseparable. As I listened to the beautiful liturgy in Grapar (classical Armenian), I reflected on the invention of the Armenian alphabet at the beginning of the fifth century A.D., the translation of the Bible into Armenian in 412, and their impact on developing a national Armenian culture. </w:t>
      </w:r>
    </w:p>
    <w:p w14:paraId="645A35EE" w14:textId="77777777" w:rsidR="00DC7F39" w:rsidRPr="00DF1A93" w:rsidRDefault="00DC7F39" w:rsidP="00DC7F39">
      <w:pPr>
        <w:pStyle w:val="BodyText"/>
        <w:spacing w:after="0"/>
        <w:jc w:val="both"/>
        <w:rPr>
          <w:rFonts w:ascii="Sylfaen" w:hAnsi="Sylfaen"/>
          <w:sz w:val="20"/>
          <w:szCs w:val="20"/>
        </w:rPr>
      </w:pPr>
      <w:r w:rsidRPr="00DF1A93">
        <w:rPr>
          <w:rFonts w:ascii="Sylfaen" w:hAnsi="Sylfaen"/>
          <w:sz w:val="20"/>
          <w:szCs w:val="20"/>
        </w:rPr>
        <w:t xml:space="preserve">Standing in the courtyard of the Etchmiadzin Cathedral after the service, and watching the congregation, I was struck by how diverse it was. There were native Armenians from different regions of the country, and immigrants from Egypt, Iran, Greece, Lebanon, Syria, and France. There were visitors from Russia and other republics of the Soviet Union. Then there were those of us who were from the United States, Ethiopia, France, and Lebanon, visiting Armenia. All kinds of languages were spoken in that courtyard and I wondered what it was that had brought all of us together. Faith and religion? Cultural and moral ties to past generations? A commitment to tradition as an anchor of stability? Craving for individual and collective historical community immortality? Paying homage to our national heritage? I did not have clear answers to those questions and to many others. I asked myself what I had in common with these Armenians and all the others I had met in Armenia. History, language, culture, and religion? Race, ethnicity, nationality, common genes, national consciousness, intellectual and moral ties to the dead, the past? Collective suffering? Discrimination, massacres, and genocide? How about the fact that I was also an Iranian and an American? </w:t>
      </w:r>
    </w:p>
    <w:p w14:paraId="73D3DD80" w14:textId="77777777" w:rsidR="00DC7F39" w:rsidRPr="00DF1A93" w:rsidRDefault="00DC7F39" w:rsidP="00DC7F39">
      <w:pPr>
        <w:pStyle w:val="BodyText"/>
        <w:spacing w:after="0"/>
        <w:jc w:val="both"/>
        <w:rPr>
          <w:rFonts w:ascii="Sylfaen" w:hAnsi="Sylfaen"/>
          <w:iCs/>
          <w:sz w:val="20"/>
          <w:szCs w:val="20"/>
        </w:rPr>
      </w:pPr>
      <w:r w:rsidRPr="00DF1A93">
        <w:rPr>
          <w:rFonts w:ascii="Sylfaen" w:hAnsi="Sylfaen"/>
          <w:sz w:val="20"/>
          <w:szCs w:val="20"/>
        </w:rPr>
        <w:t>How does one reconcile these legacies and realities and still retain one’s individuality and the integrity of one’s commitments? I realized that in each of us in such circumstances, the whole is more than the parts; the multiple heritages are not liabilities, they are assets, they provide one with a critical distance from ideological straitjackets and frozen orthodoxies. I realized then and there that my multiple legacies had played a major role in my teaching philosophy; that they had given me a healthy perspective toward all orthodoxies, a belief that they were all to be tested; that I had an obligation as a teacher to help my students develop the critical thinking and discernment that would allow them to make a conscious commitment to develop a capacity for perspective. I realized that as a teacher I had to provide my students with an intellectual compass for their travels from one culture to another, yet at the same time strengthen their knowledge of their own cultural legacies to prevent deracination and alienation, to provide them a moral, cultural, and intellectual base” (</w:t>
      </w:r>
      <w:r w:rsidRPr="00DF1A93">
        <w:rPr>
          <w:rFonts w:ascii="Sylfaen" w:hAnsi="Sylfaen"/>
          <w:iCs/>
          <w:sz w:val="20"/>
          <w:szCs w:val="20"/>
        </w:rPr>
        <w:t xml:space="preserve">Vartan Gregorian, </w:t>
      </w:r>
      <w:r w:rsidRPr="00DF1A93">
        <w:rPr>
          <w:rFonts w:ascii="Sylfaen" w:hAnsi="Sylfaen"/>
          <w:i/>
          <w:sz w:val="20"/>
          <w:szCs w:val="20"/>
        </w:rPr>
        <w:t>The Road to Home,</w:t>
      </w:r>
      <w:r w:rsidRPr="00DF1A93">
        <w:rPr>
          <w:rFonts w:ascii="Sylfaen" w:hAnsi="Sylfaen"/>
          <w:iCs/>
          <w:sz w:val="20"/>
          <w:szCs w:val="20"/>
        </w:rPr>
        <w:t xml:space="preserve"> (New York, London, Toronto, Sydney, Singapore: Simon &amp; Schuster, c2003), 183).</w:t>
      </w:r>
    </w:p>
    <w:p w14:paraId="21E562E0" w14:textId="77777777" w:rsidR="00DC7F39" w:rsidRPr="00DF1A93" w:rsidRDefault="00DC7F39" w:rsidP="00DC7F39">
      <w:pPr>
        <w:jc w:val="both"/>
        <w:rPr>
          <w:rFonts w:ascii="Sylfaen" w:hAnsi="Sylfaen"/>
          <w:sz w:val="20"/>
          <w:szCs w:val="20"/>
        </w:rPr>
      </w:pPr>
      <w:r w:rsidRPr="00DF1A93">
        <w:rPr>
          <w:rFonts w:ascii="Sylfaen" w:hAnsi="Sylfaen"/>
          <w:sz w:val="20"/>
          <w:szCs w:val="20"/>
        </w:rPr>
        <w:t>“Then again I compared these Armenians to those I had known in Iran, Lebanon, and the United States with those in Armenia. What was our common bond? Were we a virtual nation, held together by memory, language, and faith? Had we become the first transcendental nation? How about the Jews? I spent some time reading and rereading William Saroyan’s observation on Armenia and the Armenians:</w:t>
      </w:r>
    </w:p>
    <w:p w14:paraId="780EEA16" w14:textId="77777777" w:rsidR="00DC7F39" w:rsidRPr="00DF1A93" w:rsidRDefault="00DC7F39" w:rsidP="00DC7F39">
      <w:pPr>
        <w:ind w:left="720"/>
        <w:jc w:val="both"/>
        <w:rPr>
          <w:rFonts w:ascii="Sylfaen" w:hAnsi="Sylfaen"/>
          <w:sz w:val="20"/>
          <w:szCs w:val="20"/>
        </w:rPr>
      </w:pPr>
      <w:r w:rsidRPr="00DF1A93">
        <w:rPr>
          <w:rFonts w:ascii="Sylfaen" w:hAnsi="Sylfaen"/>
          <w:sz w:val="20"/>
          <w:szCs w:val="20"/>
        </w:rPr>
        <w:t>I should like to see any power of the world destroy this race, this small tribe of unimportant people, whose wars have all been fought and lost, whose structures have crumbled, literature is unread, music is unheard, and prayers are no more answered.</w:t>
      </w:r>
    </w:p>
    <w:p w14:paraId="6F374F77" w14:textId="77777777" w:rsidR="00DC7F39" w:rsidRPr="00DF1A93" w:rsidRDefault="00DC7F39" w:rsidP="00DC7F39">
      <w:pPr>
        <w:ind w:left="720"/>
        <w:jc w:val="both"/>
        <w:rPr>
          <w:rFonts w:ascii="Sylfaen" w:hAnsi="Sylfaen"/>
          <w:sz w:val="20"/>
          <w:szCs w:val="20"/>
        </w:rPr>
      </w:pPr>
      <w:r w:rsidRPr="00DF1A93">
        <w:rPr>
          <w:rFonts w:ascii="Sylfaen" w:hAnsi="Sylfaen"/>
          <w:sz w:val="20"/>
          <w:szCs w:val="20"/>
        </w:rPr>
        <w:t>Go ahead, destroy Armenia. See if you can do it. Send them into the desert without bread and water. Burn their homes and churches.</w:t>
      </w:r>
    </w:p>
    <w:p w14:paraId="296EA633" w14:textId="12190668" w:rsidR="00DC7F39" w:rsidRPr="00DF1A93" w:rsidRDefault="00DC7F39" w:rsidP="00DF1A93">
      <w:pPr>
        <w:ind w:left="720"/>
        <w:jc w:val="both"/>
        <w:rPr>
          <w:rFonts w:ascii="Sylfaen" w:hAnsi="Sylfaen"/>
          <w:sz w:val="20"/>
          <w:szCs w:val="20"/>
        </w:rPr>
      </w:pPr>
      <w:r w:rsidRPr="00DF1A93">
        <w:rPr>
          <w:rFonts w:ascii="Sylfaen" w:hAnsi="Sylfaen"/>
          <w:sz w:val="20"/>
          <w:szCs w:val="20"/>
        </w:rPr>
        <w:t>Then see if they will not laugh, sing and pray again. For when two of them meet anywhere in the world, see if they will not create a new Armenia” (</w:t>
      </w:r>
      <w:r w:rsidRPr="00DF1A93">
        <w:rPr>
          <w:rFonts w:ascii="Sylfaen" w:hAnsi="Sylfaen"/>
          <w:i/>
          <w:iCs/>
          <w:sz w:val="20"/>
          <w:szCs w:val="20"/>
        </w:rPr>
        <w:t xml:space="preserve">Ibid, </w:t>
      </w:r>
      <w:r w:rsidRPr="00DF1A93">
        <w:rPr>
          <w:rFonts w:ascii="Sylfaen" w:hAnsi="Sylfaen"/>
          <w:sz w:val="20"/>
          <w:szCs w:val="20"/>
        </w:rPr>
        <w:t>189).</w:t>
      </w:r>
    </w:p>
  </w:footnote>
  <w:footnote w:id="25">
    <w:p w14:paraId="540A5B50" w14:textId="65176C9E" w:rsidR="00DF1A93" w:rsidRPr="00DF1A93" w:rsidRDefault="00DF1A93" w:rsidP="00DF1A93">
      <w:pPr>
        <w:pStyle w:val="FootnoteText"/>
        <w:jc w:val="both"/>
        <w:rPr>
          <w:rFonts w:ascii="Sylfaen" w:hAnsi="Sylfaen"/>
          <w:lang w:val="en-US"/>
        </w:rPr>
      </w:pPr>
      <w:r w:rsidRPr="00DF1A93">
        <w:rPr>
          <w:rStyle w:val="FootnoteReference"/>
          <w:rFonts w:ascii="Sylfaen" w:hAnsi="Sylfaen"/>
        </w:rPr>
        <w:footnoteRef/>
      </w:r>
      <w:r w:rsidRPr="00DF1A93">
        <w:rPr>
          <w:rFonts w:ascii="Sylfaen" w:hAnsi="Sylfaen"/>
        </w:rPr>
        <w:t xml:space="preserve"> </w:t>
      </w:r>
      <w:r w:rsidRPr="00DF1A93">
        <w:rPr>
          <w:rFonts w:ascii="Sylfaen" w:hAnsi="Sylfaen"/>
          <w:szCs w:val="20"/>
        </w:rPr>
        <w:t>The Armenian Church has seven Prayer Hours ({1} Night Hour, Vigils or Nocturns; {2} Morning Hour or Matins; {3} Sunrise Hour or Prime; {4} Midday Hour or Sext; {5} Evening Hour or Vespers; {6} Peace Hour; {7} Rest Hour or Compline) that used to be offered daily making the whole day a prayer journey towards God. At the present two Prayer Hours are offered in the monasteries and in some churches in the morning and in the afternoon. The Holy Eucharist is celebrated on Sundays and special feast days.</w:t>
      </w:r>
    </w:p>
  </w:footnote>
  <w:footnote w:id="26">
    <w:p w14:paraId="10976697" w14:textId="3F737E16" w:rsidR="005A6838" w:rsidRPr="005A6838" w:rsidRDefault="005A6838" w:rsidP="005A6838">
      <w:pPr>
        <w:pStyle w:val="FootnoteText"/>
        <w:jc w:val="both"/>
        <w:rPr>
          <w:rFonts w:ascii="Sylfaen" w:hAnsi="Sylfaen"/>
          <w:lang w:val="en-US"/>
        </w:rPr>
      </w:pPr>
      <w:r w:rsidRPr="005A6838">
        <w:rPr>
          <w:rStyle w:val="FootnoteReference"/>
          <w:rFonts w:ascii="Sylfaen" w:hAnsi="Sylfaen"/>
        </w:rPr>
        <w:footnoteRef/>
      </w:r>
      <w:r w:rsidRPr="005A6838">
        <w:rPr>
          <w:rFonts w:ascii="Sylfaen" w:hAnsi="Sylfaen"/>
        </w:rPr>
        <w:t xml:space="preserve"> </w:t>
      </w:r>
      <w:r w:rsidRPr="005A6838">
        <w:rPr>
          <w:rFonts w:ascii="Sylfaen" w:hAnsi="Sylfaen"/>
          <w:szCs w:val="20"/>
        </w:rPr>
        <w:t xml:space="preserve">“A martyr is a believer who has borne witness to Christ by shedding his or her blood. Though that definition is straightforward, martyrdom resists simplistic explanations. It cannot be explained simply by the premise of a death wish, for example, or by political courage or the desire for recognition. Such interpretations cannot account for the orthodox confessors. …Martyrdom itself became the supreme evangelizer under the challenge of persecution” (Thomas C. Oden, </w:t>
      </w:r>
      <w:r w:rsidRPr="005A6838">
        <w:rPr>
          <w:rFonts w:ascii="Sylfaen" w:hAnsi="Sylfaen"/>
          <w:i/>
          <w:iCs/>
          <w:szCs w:val="20"/>
        </w:rPr>
        <w:t>The Rebirth of Orthodoxy</w:t>
      </w:r>
      <w:r w:rsidRPr="005A6838">
        <w:rPr>
          <w:rFonts w:ascii="Sylfaen" w:hAnsi="Sylfaen"/>
          <w:szCs w:val="20"/>
        </w:rPr>
        <w:t>, 52).</w:t>
      </w:r>
    </w:p>
  </w:footnote>
  <w:footnote w:id="27">
    <w:p w14:paraId="32E7405D" w14:textId="7AE9E3D7" w:rsidR="00771019" w:rsidRPr="00771019" w:rsidRDefault="00771019" w:rsidP="00771019">
      <w:pPr>
        <w:pStyle w:val="FootnoteText"/>
        <w:jc w:val="both"/>
        <w:rPr>
          <w:rFonts w:ascii="Sylfaen" w:hAnsi="Sylfaen"/>
          <w:lang w:val="en-US"/>
        </w:rPr>
      </w:pPr>
      <w:r w:rsidRPr="00771019">
        <w:rPr>
          <w:rStyle w:val="FootnoteReference"/>
          <w:rFonts w:ascii="Sylfaen" w:hAnsi="Sylfaen"/>
        </w:rPr>
        <w:footnoteRef/>
      </w:r>
      <w:r w:rsidRPr="00771019">
        <w:rPr>
          <w:rFonts w:ascii="Sylfaen" w:hAnsi="Sylfaen"/>
        </w:rPr>
        <w:t xml:space="preserve"> </w:t>
      </w:r>
      <w:r w:rsidRPr="00771019">
        <w:rPr>
          <w:rFonts w:ascii="Sylfaen" w:hAnsi="Sylfaen"/>
          <w:i/>
          <w:iCs/>
          <w:szCs w:val="20"/>
        </w:rPr>
        <w:t>Yeghisheh</w:t>
      </w:r>
      <w:r w:rsidRPr="00771019">
        <w:rPr>
          <w:rFonts w:ascii="Sylfaen" w:hAnsi="Sylfaen"/>
          <w:szCs w:val="20"/>
        </w:rPr>
        <w:t>, (New York, 1952), 45.</w:t>
      </w:r>
    </w:p>
  </w:footnote>
  <w:footnote w:id="28">
    <w:p w14:paraId="6040C205" w14:textId="344647AE" w:rsidR="00771019" w:rsidRPr="000D798C" w:rsidRDefault="00771019" w:rsidP="000D798C">
      <w:pPr>
        <w:pStyle w:val="FootnoteText"/>
        <w:jc w:val="both"/>
        <w:rPr>
          <w:rFonts w:ascii="Sylfaen" w:hAnsi="Sylfaen"/>
          <w:lang w:val="en-US"/>
        </w:rPr>
      </w:pPr>
      <w:r w:rsidRPr="000D798C">
        <w:rPr>
          <w:rStyle w:val="FootnoteReference"/>
          <w:rFonts w:ascii="Sylfaen" w:hAnsi="Sylfaen"/>
        </w:rPr>
        <w:footnoteRef/>
      </w:r>
      <w:r w:rsidRPr="000D798C">
        <w:rPr>
          <w:rFonts w:ascii="Sylfaen" w:hAnsi="Sylfaen"/>
        </w:rPr>
        <w:t xml:space="preserve"> </w:t>
      </w:r>
      <w:r w:rsidR="000D798C" w:rsidRPr="000D798C">
        <w:rPr>
          <w:rFonts w:ascii="Sylfaen" w:hAnsi="Sylfaen"/>
          <w:i/>
          <w:iCs/>
          <w:szCs w:val="20"/>
        </w:rPr>
        <w:t>Ibid</w:t>
      </w:r>
      <w:r w:rsidR="000D798C" w:rsidRPr="000D798C">
        <w:rPr>
          <w:rFonts w:ascii="Sylfaen" w:hAnsi="Sylfaen"/>
          <w:szCs w:val="20"/>
        </w:rPr>
        <w:t>, 79.</w:t>
      </w:r>
    </w:p>
  </w:footnote>
  <w:footnote w:id="29">
    <w:p w14:paraId="212EDD8B" w14:textId="0E368CF2" w:rsidR="00A56587" w:rsidRDefault="00A56587" w:rsidP="00A56587">
      <w:pPr>
        <w:pStyle w:val="FootnoteText"/>
        <w:jc w:val="both"/>
        <w:rPr>
          <w:rFonts w:ascii="Sylfaen" w:hAnsi="Sylfaen"/>
          <w:szCs w:val="20"/>
        </w:rPr>
      </w:pPr>
      <w:r w:rsidRPr="00A56587">
        <w:rPr>
          <w:rStyle w:val="FootnoteReference"/>
          <w:rFonts w:ascii="Sylfaen" w:hAnsi="Sylfaen"/>
        </w:rPr>
        <w:footnoteRef/>
      </w:r>
      <w:r w:rsidRPr="00A56587">
        <w:rPr>
          <w:rFonts w:ascii="Sylfaen" w:hAnsi="Sylfaen"/>
        </w:rPr>
        <w:t xml:space="preserve"> </w:t>
      </w:r>
      <w:r w:rsidRPr="00A56587">
        <w:rPr>
          <w:rFonts w:ascii="Sylfaen" w:hAnsi="Sylfaen"/>
          <w:szCs w:val="20"/>
        </w:rPr>
        <w:t xml:space="preserve">Boyarin’s ‘deteritorializing Jewishness’ notion is very effective in the Armenian Diaspora context: “We, including religious Jews –perhaps especially religious Jews– must take the theological dimension of Paul’s challenge seriously. How </w:t>
      </w:r>
      <w:r w:rsidRPr="00A56587">
        <w:rPr>
          <w:rFonts w:ascii="Sylfaen" w:hAnsi="Sylfaen"/>
          <w:i/>
          <w:iCs/>
          <w:szCs w:val="20"/>
        </w:rPr>
        <w:t xml:space="preserve">could </w:t>
      </w:r>
      <w:r w:rsidRPr="00A56587">
        <w:rPr>
          <w:rFonts w:ascii="Sylfaen" w:hAnsi="Sylfaen"/>
          <w:szCs w:val="20"/>
        </w:rPr>
        <w:t xml:space="preserve">the God of all the world have such a disproportionate care and concern for only a small part of His world?! And yet, obviously, I cannot even conceive of accepting Paul’s solution of dissolving into a universal human essence, even one that would not be Christian but truly humanist and universal, even if such an entity could really exist;” “Somewhere in this dialectic a synthesis must be found, one that will allow for stubborn hanging on to ethnic, cultural specificity but in a context of deeply felt and enacted human solidarity. For that synthesis, Diaspora provides the model, and only in conditions of Diaspora can such a resolution even be attempted” (Daniel Boyarin, </w:t>
      </w:r>
      <w:r w:rsidRPr="00A56587">
        <w:rPr>
          <w:rFonts w:ascii="Sylfaen" w:hAnsi="Sylfaen"/>
          <w:i/>
          <w:iCs/>
          <w:szCs w:val="20"/>
        </w:rPr>
        <w:t xml:space="preserve">A Radical Jew, </w:t>
      </w:r>
      <w:r w:rsidRPr="00A56587">
        <w:rPr>
          <w:rFonts w:ascii="Sylfaen" w:hAnsi="Sylfaen"/>
          <w:szCs w:val="20"/>
        </w:rPr>
        <w:t>257).</w:t>
      </w:r>
    </w:p>
    <w:p w14:paraId="63DC5747" w14:textId="77777777" w:rsidR="00B62BB4" w:rsidRPr="00AF24EC" w:rsidRDefault="00B62BB4" w:rsidP="00B62BB4">
      <w:pPr>
        <w:jc w:val="both"/>
        <w:rPr>
          <w:rFonts w:ascii="Sylfaen" w:hAnsi="Sylfaen"/>
          <w:sz w:val="20"/>
          <w:szCs w:val="20"/>
        </w:rPr>
      </w:pPr>
      <w:r w:rsidRPr="00AF24EC">
        <w:rPr>
          <w:rFonts w:ascii="Sylfaen" w:hAnsi="Sylfaen"/>
          <w:sz w:val="20"/>
          <w:szCs w:val="20"/>
        </w:rPr>
        <w:t xml:space="preserve">“Paul claims that being a “true Jew” is not at all a matter of genealogy, history, and practice but a matter of an inner disposition;” “Jewishness disrupts the very categories of identity, because it is not national, not genealogical, not religious, but all of these, in dialectical tension with one another” (Daniel Boyarin, </w:t>
      </w:r>
      <w:r w:rsidRPr="00AF24EC">
        <w:rPr>
          <w:rFonts w:ascii="Sylfaen" w:hAnsi="Sylfaen"/>
          <w:i/>
          <w:iCs/>
          <w:sz w:val="20"/>
          <w:szCs w:val="20"/>
        </w:rPr>
        <w:t xml:space="preserve">A Radical Jew, </w:t>
      </w:r>
      <w:r w:rsidRPr="00AF24EC">
        <w:rPr>
          <w:rFonts w:ascii="Sylfaen" w:hAnsi="Sylfaen"/>
          <w:sz w:val="20"/>
          <w:szCs w:val="20"/>
        </w:rPr>
        <w:t>220 &amp; 244). The same applies also to Armeniannesss!</w:t>
      </w:r>
    </w:p>
    <w:p w14:paraId="5CC099E2" w14:textId="77777777" w:rsidR="00B62BB4" w:rsidRPr="00A56587" w:rsidRDefault="00B62BB4" w:rsidP="00A56587">
      <w:pPr>
        <w:pStyle w:val="FootnoteText"/>
        <w:jc w:val="both"/>
        <w:rPr>
          <w:rFonts w:ascii="Sylfaen" w:hAnsi="Sylfaen"/>
          <w:lang w:val="en-US"/>
        </w:rPr>
      </w:pPr>
    </w:p>
  </w:footnote>
  <w:footnote w:id="30">
    <w:p w14:paraId="1D435216" w14:textId="7C536388" w:rsidR="00AF24EC" w:rsidRPr="00D47585" w:rsidRDefault="00AF24EC" w:rsidP="00D47585">
      <w:pPr>
        <w:pStyle w:val="FootnoteText"/>
        <w:jc w:val="both"/>
        <w:rPr>
          <w:rFonts w:ascii="Sylfaen" w:hAnsi="Sylfaen"/>
          <w:szCs w:val="20"/>
        </w:rPr>
      </w:pPr>
      <w:r w:rsidRPr="00B62BB4">
        <w:rPr>
          <w:rStyle w:val="FootnoteReference"/>
          <w:rFonts w:ascii="Sylfaen" w:hAnsi="Sylfaen"/>
        </w:rPr>
        <w:footnoteRef/>
      </w:r>
      <w:r w:rsidRPr="00B62BB4">
        <w:rPr>
          <w:rFonts w:ascii="Sylfaen" w:hAnsi="Sylfaen"/>
        </w:rPr>
        <w:t xml:space="preserve"> </w:t>
      </w:r>
      <w:r w:rsidR="00B62BB4" w:rsidRPr="00B62BB4">
        <w:rPr>
          <w:rFonts w:ascii="Sylfaen" w:hAnsi="Sylfaen"/>
          <w:szCs w:val="20"/>
        </w:rPr>
        <w:t xml:space="preserve">Aram I, </w:t>
      </w:r>
      <w:r w:rsidR="00B62BB4" w:rsidRPr="00B62BB4">
        <w:rPr>
          <w:rFonts w:ascii="Sylfaen" w:hAnsi="Sylfaen"/>
          <w:i/>
          <w:iCs/>
          <w:szCs w:val="20"/>
        </w:rPr>
        <w:t xml:space="preserve">In Search of Ecumenical Vision, </w:t>
      </w:r>
      <w:r w:rsidR="00B62BB4" w:rsidRPr="00B62BB4">
        <w:rPr>
          <w:rFonts w:ascii="Sylfaen" w:hAnsi="Sylfaen"/>
          <w:szCs w:val="20"/>
        </w:rPr>
        <w:t>(Antelias-Lebanon: Armenian Catholicosate of Cilicia, c2002), 201.</w:t>
      </w:r>
    </w:p>
  </w:footnote>
  <w:footnote w:id="31">
    <w:p w14:paraId="64BC2F62" w14:textId="261E577D" w:rsidR="00D47585" w:rsidRPr="000D6D98" w:rsidRDefault="00D47585" w:rsidP="000D6D98">
      <w:pPr>
        <w:pStyle w:val="FootnoteText"/>
        <w:jc w:val="both"/>
        <w:rPr>
          <w:rFonts w:ascii="Sylfaen" w:hAnsi="Sylfaen"/>
          <w:lang w:val="en-US"/>
        </w:rPr>
      </w:pPr>
      <w:r w:rsidRPr="000D6D98">
        <w:rPr>
          <w:rStyle w:val="FootnoteReference"/>
          <w:rFonts w:ascii="Sylfaen" w:hAnsi="Sylfaen"/>
        </w:rPr>
        <w:footnoteRef/>
      </w:r>
      <w:r w:rsidRPr="000D6D98">
        <w:rPr>
          <w:rFonts w:ascii="Sylfaen" w:hAnsi="Sylfaen"/>
        </w:rPr>
        <w:t xml:space="preserve"> </w:t>
      </w:r>
      <w:r w:rsidRPr="000D6D98">
        <w:rPr>
          <w:rFonts w:ascii="Sylfaen" w:hAnsi="Sylfaen"/>
          <w:szCs w:val="20"/>
        </w:rPr>
        <w:t>Cf. 1 Cor 10:16.</w:t>
      </w:r>
    </w:p>
  </w:footnote>
  <w:footnote w:id="32">
    <w:p w14:paraId="5988EC3A" w14:textId="14780523" w:rsidR="000D6D98" w:rsidRPr="00A93792" w:rsidRDefault="000D6D98" w:rsidP="00A93792">
      <w:pPr>
        <w:pStyle w:val="FootnoteText"/>
        <w:jc w:val="both"/>
        <w:rPr>
          <w:rFonts w:ascii="Sylfaen" w:hAnsi="Sylfaen"/>
          <w:lang w:val="en-US"/>
        </w:rPr>
      </w:pPr>
      <w:r w:rsidRPr="00A93792">
        <w:rPr>
          <w:rStyle w:val="FootnoteReference"/>
          <w:rFonts w:ascii="Sylfaen" w:hAnsi="Sylfaen"/>
        </w:rPr>
        <w:footnoteRef/>
      </w:r>
      <w:r w:rsidRPr="00A93792">
        <w:rPr>
          <w:rFonts w:ascii="Sylfaen" w:hAnsi="Sylfaen"/>
        </w:rPr>
        <w:t xml:space="preserve"> </w:t>
      </w:r>
      <w:r w:rsidR="00A93792" w:rsidRPr="00A93792">
        <w:rPr>
          <w:rFonts w:ascii="Sylfaen" w:hAnsi="Sylfaen"/>
          <w:i/>
          <w:iCs/>
          <w:szCs w:val="20"/>
        </w:rPr>
        <w:t xml:space="preserve">The Rituals of the Armenian Apostolic Church, </w:t>
      </w:r>
      <w:r w:rsidR="00A93792" w:rsidRPr="00A93792">
        <w:rPr>
          <w:rFonts w:ascii="Sylfaen" w:hAnsi="Sylfaen"/>
          <w:szCs w:val="20"/>
        </w:rPr>
        <w:t>(New York: The Armenian Prelacy, c1992), 39.</w:t>
      </w:r>
    </w:p>
  </w:footnote>
  <w:footnote w:id="33">
    <w:p w14:paraId="6F673EB3" w14:textId="602077FE" w:rsidR="00A93792" w:rsidRPr="00A93792" w:rsidRDefault="00A93792" w:rsidP="00A93792">
      <w:pPr>
        <w:pStyle w:val="FootnoteText"/>
        <w:jc w:val="both"/>
        <w:rPr>
          <w:rFonts w:ascii="Sylfaen" w:hAnsi="Sylfaen"/>
          <w:lang w:val="en-US"/>
        </w:rPr>
      </w:pPr>
      <w:r w:rsidRPr="00A93792">
        <w:rPr>
          <w:rStyle w:val="FootnoteReference"/>
          <w:rFonts w:ascii="Sylfaen" w:hAnsi="Sylfaen"/>
        </w:rPr>
        <w:footnoteRef/>
      </w:r>
      <w:r w:rsidRPr="00A93792">
        <w:rPr>
          <w:rFonts w:ascii="Sylfaen" w:hAnsi="Sylfaen"/>
        </w:rPr>
        <w:t xml:space="preserve"> </w:t>
      </w:r>
      <w:r w:rsidRPr="00A93792">
        <w:rPr>
          <w:rFonts w:ascii="Sylfaen" w:hAnsi="Sylfaen"/>
          <w:szCs w:val="20"/>
        </w:rPr>
        <w:t xml:space="preserve">All quotations of the holy eucharist are taken from Very Rev. Fr. Daniel Findikyan, </w:t>
      </w:r>
      <w:r w:rsidR="00B74BC2">
        <w:rPr>
          <w:rFonts w:ascii="Sylfaen" w:hAnsi="Sylfaen"/>
          <w:szCs w:val="20"/>
        </w:rPr>
        <w:t>G</w:t>
      </w:r>
      <w:r w:rsidRPr="00A93792">
        <w:rPr>
          <w:rFonts w:ascii="Sylfaen" w:hAnsi="Sylfaen"/>
          <w:szCs w:val="20"/>
        </w:rPr>
        <w:t xml:space="preserve">en. </w:t>
      </w:r>
      <w:r w:rsidR="00B74BC2">
        <w:rPr>
          <w:rFonts w:ascii="Sylfaen" w:hAnsi="Sylfaen"/>
          <w:szCs w:val="20"/>
        </w:rPr>
        <w:t>E</w:t>
      </w:r>
      <w:r w:rsidRPr="00A93792">
        <w:rPr>
          <w:rFonts w:ascii="Sylfaen" w:hAnsi="Sylfaen"/>
          <w:szCs w:val="20"/>
        </w:rPr>
        <w:t xml:space="preserve">d. </w:t>
      </w:r>
      <w:r w:rsidRPr="00A93792">
        <w:rPr>
          <w:rFonts w:ascii="Sylfaen" w:hAnsi="Sylfaen"/>
          <w:i/>
          <w:iCs/>
          <w:szCs w:val="20"/>
        </w:rPr>
        <w:t xml:space="preserve">The Divine Liturgy of the Armenian Church, </w:t>
      </w:r>
      <w:r w:rsidRPr="00A93792">
        <w:rPr>
          <w:rFonts w:ascii="Sylfaen" w:hAnsi="Sylfaen"/>
          <w:szCs w:val="20"/>
        </w:rPr>
        <w:t>(New York: St. Vartan Press, c1999).</w:t>
      </w:r>
    </w:p>
  </w:footnote>
  <w:footnote w:id="34">
    <w:p w14:paraId="3DA3F697" w14:textId="7267FD07" w:rsidR="008B7308" w:rsidRPr="000E61A8" w:rsidRDefault="008B7308" w:rsidP="000E61A8">
      <w:pPr>
        <w:pStyle w:val="FootnoteText"/>
        <w:jc w:val="both"/>
        <w:rPr>
          <w:rFonts w:ascii="Sylfaen" w:hAnsi="Sylfaen"/>
          <w:lang w:val="en-US"/>
        </w:rPr>
      </w:pPr>
      <w:r w:rsidRPr="000E61A8">
        <w:rPr>
          <w:rStyle w:val="FootnoteReference"/>
          <w:rFonts w:ascii="Sylfaen" w:hAnsi="Sylfaen"/>
        </w:rPr>
        <w:footnoteRef/>
      </w:r>
      <w:r w:rsidRPr="000E61A8">
        <w:rPr>
          <w:rFonts w:ascii="Sylfaen" w:hAnsi="Sylfaen"/>
        </w:rPr>
        <w:t xml:space="preserve"> </w:t>
      </w:r>
      <w:r w:rsidR="000E61A8" w:rsidRPr="000E61A8">
        <w:rPr>
          <w:rFonts w:ascii="Sylfaen" w:hAnsi="Sylfaen"/>
          <w:szCs w:val="20"/>
        </w:rPr>
        <w:t>Eucharist in Greek means thanksgiving.</w:t>
      </w:r>
    </w:p>
  </w:footnote>
  <w:footnote w:id="35">
    <w:p w14:paraId="6395CA28" w14:textId="394697C0" w:rsidR="006A3A86" w:rsidRPr="00037BE4" w:rsidRDefault="006A3A86" w:rsidP="00037BE4">
      <w:pPr>
        <w:pStyle w:val="FootnoteText"/>
        <w:jc w:val="both"/>
        <w:rPr>
          <w:rFonts w:ascii="Sylfaen" w:hAnsi="Sylfaen"/>
          <w:lang w:val="en-US"/>
        </w:rPr>
      </w:pPr>
      <w:r w:rsidRPr="00037BE4">
        <w:rPr>
          <w:rStyle w:val="FootnoteReference"/>
          <w:rFonts w:ascii="Sylfaen" w:hAnsi="Sylfaen"/>
        </w:rPr>
        <w:footnoteRef/>
      </w:r>
      <w:r w:rsidRPr="00037BE4">
        <w:rPr>
          <w:rFonts w:ascii="Sylfaen" w:hAnsi="Sylfaen"/>
        </w:rPr>
        <w:t xml:space="preserve"> </w:t>
      </w:r>
      <w:r w:rsidR="00037BE4" w:rsidRPr="00037BE4">
        <w:rPr>
          <w:rFonts w:ascii="Sylfaen" w:hAnsi="Sylfaen"/>
          <w:szCs w:val="20"/>
        </w:rPr>
        <w:t xml:space="preserve">Contemplating on Pope John Paul II’s Encyclical Letter, </w:t>
      </w:r>
      <w:r w:rsidR="00037BE4" w:rsidRPr="00037BE4">
        <w:rPr>
          <w:rFonts w:ascii="Sylfaen" w:hAnsi="Sylfaen"/>
          <w:i/>
          <w:iCs/>
          <w:szCs w:val="20"/>
        </w:rPr>
        <w:t>Ecclesia de Eucharistia,</w:t>
      </w:r>
      <w:r w:rsidR="00037BE4" w:rsidRPr="00037BE4">
        <w:rPr>
          <w:rFonts w:ascii="Sylfaen" w:hAnsi="Sylfaen"/>
          <w:szCs w:val="20"/>
        </w:rPr>
        <w:t xml:space="preserve"> Fr. Antonio Miralles quotes: “If the Eucharist is the centre and summit of the Church’s life, it is likewise the centre and summit of priestly ministry” (“Reflections on the Holy Father’s Encyclical Letter </w:t>
      </w:r>
      <w:r w:rsidR="00037BE4" w:rsidRPr="00037BE4">
        <w:rPr>
          <w:rFonts w:ascii="Sylfaen" w:hAnsi="Sylfaen"/>
          <w:i/>
          <w:iCs/>
          <w:szCs w:val="20"/>
        </w:rPr>
        <w:t>Ecclesia de Eucharistia,</w:t>
      </w:r>
      <w:r w:rsidR="00037BE4" w:rsidRPr="00037BE4">
        <w:rPr>
          <w:rFonts w:ascii="Sylfaen" w:hAnsi="Sylfaen"/>
          <w:szCs w:val="20"/>
        </w:rPr>
        <w:t xml:space="preserve">” </w:t>
      </w:r>
      <w:r w:rsidR="00037BE4" w:rsidRPr="00037BE4">
        <w:rPr>
          <w:rFonts w:ascii="Sylfaen" w:hAnsi="Sylfaen"/>
          <w:i/>
          <w:iCs/>
          <w:szCs w:val="20"/>
        </w:rPr>
        <w:t xml:space="preserve">L’Osservatore Romano, </w:t>
      </w:r>
      <w:r w:rsidR="00037BE4" w:rsidRPr="00037BE4">
        <w:rPr>
          <w:rFonts w:ascii="Sylfaen" w:hAnsi="Sylfaen"/>
          <w:szCs w:val="20"/>
        </w:rPr>
        <w:t>No. 37, (10 September 2003), 9).</w:t>
      </w:r>
    </w:p>
  </w:footnote>
  <w:footnote w:id="36">
    <w:p w14:paraId="52CCCC39" w14:textId="7B1CAC7D" w:rsidR="00037BE4" w:rsidRPr="00B90394" w:rsidRDefault="00037BE4" w:rsidP="00B90394">
      <w:pPr>
        <w:pStyle w:val="FootnoteText"/>
        <w:jc w:val="both"/>
        <w:rPr>
          <w:rFonts w:ascii="Sylfaen" w:hAnsi="Sylfaen"/>
          <w:lang w:val="en-US"/>
        </w:rPr>
      </w:pPr>
      <w:r w:rsidRPr="00B90394">
        <w:rPr>
          <w:rStyle w:val="FootnoteReference"/>
          <w:rFonts w:ascii="Sylfaen" w:hAnsi="Sylfaen"/>
        </w:rPr>
        <w:footnoteRef/>
      </w:r>
      <w:r w:rsidRPr="00B90394">
        <w:rPr>
          <w:rFonts w:ascii="Sylfaen" w:hAnsi="Sylfaen"/>
        </w:rPr>
        <w:t xml:space="preserve"> </w:t>
      </w:r>
      <w:r w:rsidR="00B90394" w:rsidRPr="00B90394">
        <w:rPr>
          <w:rFonts w:ascii="Sylfaen" w:hAnsi="Sylfaen"/>
          <w:szCs w:val="20"/>
        </w:rPr>
        <w:t xml:space="preserve">“The eucharist displays five major dimensions. The eucharist is: (1) Thanksgiving to the Father for his continuous redemption and sanctification of the whole creation; (2) The </w:t>
      </w:r>
      <w:r w:rsidR="00B90394" w:rsidRPr="00B90394">
        <w:rPr>
          <w:rFonts w:ascii="Sylfaen" w:hAnsi="Sylfaen"/>
          <w:i/>
          <w:iCs/>
          <w:szCs w:val="20"/>
        </w:rPr>
        <w:t>anamnesis</w:t>
      </w:r>
      <w:r w:rsidR="00B90394" w:rsidRPr="00B90394">
        <w:rPr>
          <w:rFonts w:ascii="Sylfaen" w:hAnsi="Sylfaen"/>
          <w:szCs w:val="20"/>
        </w:rPr>
        <w:t xml:space="preserve"> of God’s reconciling act in Christ; (3) The foretaste of Christ’s </w:t>
      </w:r>
      <w:r w:rsidR="00B90394" w:rsidRPr="00B90394">
        <w:rPr>
          <w:rFonts w:ascii="Sylfaen" w:hAnsi="Sylfaen"/>
          <w:i/>
          <w:iCs/>
          <w:szCs w:val="20"/>
        </w:rPr>
        <w:t xml:space="preserve">parousia, </w:t>
      </w:r>
      <w:r w:rsidR="00B90394" w:rsidRPr="00B90394">
        <w:rPr>
          <w:rFonts w:ascii="Sylfaen" w:hAnsi="Sylfaen"/>
          <w:szCs w:val="20"/>
        </w:rPr>
        <w:t xml:space="preserve">and the fulfillment of the kingdom; (4) The </w:t>
      </w:r>
      <w:r w:rsidR="00B90394" w:rsidRPr="00B90394">
        <w:rPr>
          <w:rFonts w:ascii="Sylfaen" w:hAnsi="Sylfaen"/>
          <w:i/>
          <w:iCs/>
          <w:szCs w:val="20"/>
        </w:rPr>
        <w:t>epiclesis</w:t>
      </w:r>
      <w:r w:rsidR="00B90394" w:rsidRPr="00B90394">
        <w:rPr>
          <w:rFonts w:ascii="Sylfaen" w:hAnsi="Sylfaen"/>
          <w:szCs w:val="20"/>
        </w:rPr>
        <w:t xml:space="preserve">––that is the church’s prayer for the Spirit to sanctify and empower it to fulfill its mission in the world; (5) A </w:t>
      </w:r>
      <w:r w:rsidR="00B90394" w:rsidRPr="00B90394">
        <w:rPr>
          <w:rFonts w:ascii="Sylfaen" w:hAnsi="Sylfaen"/>
          <w:i/>
          <w:iCs/>
          <w:szCs w:val="20"/>
        </w:rPr>
        <w:t>koinonia</w:t>
      </w:r>
      <w:r w:rsidR="00B90394" w:rsidRPr="00B90394">
        <w:rPr>
          <w:rFonts w:ascii="Sylfaen" w:hAnsi="Sylfaen"/>
          <w:szCs w:val="20"/>
        </w:rPr>
        <w:t xml:space="preserve">––that is communion in a twofold sense: participation in the body of Christ, and the community of those who participate in Christ’s body. Hence, eucharist is not just a ‘sacrament,’ but the mystery of our participation in the life of the Triune God. It is also the locus of God’s continuous recreation and sanctification of creation, and the living presence of the kingdom” (Aram I, </w:t>
      </w:r>
      <w:r w:rsidR="00B90394" w:rsidRPr="00B90394">
        <w:rPr>
          <w:rFonts w:ascii="Sylfaen" w:hAnsi="Sylfaen"/>
          <w:i/>
          <w:iCs/>
          <w:szCs w:val="20"/>
        </w:rPr>
        <w:t xml:space="preserve">The Challenge To Be A Church In A Changing World, </w:t>
      </w:r>
      <w:r w:rsidR="00B90394" w:rsidRPr="00B90394">
        <w:rPr>
          <w:rFonts w:ascii="Sylfaen" w:hAnsi="Sylfaen"/>
          <w:szCs w:val="20"/>
        </w:rPr>
        <w:t>(New York: The Armenian Prelacy, c1997), 46).</w:t>
      </w:r>
    </w:p>
  </w:footnote>
  <w:footnote w:id="37">
    <w:p w14:paraId="0F03B4C0" w14:textId="6475D9C1" w:rsidR="00B90394" w:rsidRPr="00975E67" w:rsidRDefault="00B90394" w:rsidP="00975E67">
      <w:pPr>
        <w:pStyle w:val="FootnoteText"/>
        <w:jc w:val="both"/>
        <w:rPr>
          <w:rFonts w:ascii="Sylfaen" w:hAnsi="Sylfaen"/>
          <w:lang w:val="en-US"/>
        </w:rPr>
      </w:pPr>
      <w:r w:rsidRPr="00975E67">
        <w:rPr>
          <w:rStyle w:val="FootnoteReference"/>
          <w:rFonts w:ascii="Sylfaen" w:hAnsi="Sylfaen"/>
        </w:rPr>
        <w:footnoteRef/>
      </w:r>
      <w:r w:rsidRPr="00975E67">
        <w:rPr>
          <w:rFonts w:ascii="Sylfaen" w:hAnsi="Sylfaen"/>
        </w:rPr>
        <w:t xml:space="preserve"> </w:t>
      </w:r>
      <w:r w:rsidR="00975E67" w:rsidRPr="00975E67">
        <w:rPr>
          <w:rFonts w:ascii="Sylfaen" w:hAnsi="Sylfaen"/>
          <w:szCs w:val="20"/>
        </w:rPr>
        <w:t xml:space="preserve">Aram Keshishian, </w:t>
      </w:r>
      <w:r w:rsidR="00975E67" w:rsidRPr="00975E67">
        <w:rPr>
          <w:rFonts w:ascii="Sylfaen" w:hAnsi="Sylfaen"/>
          <w:i/>
          <w:iCs/>
          <w:szCs w:val="20"/>
        </w:rPr>
        <w:t xml:space="preserve">The Witness of the Armenian Church in a Diaspora Situation, </w:t>
      </w:r>
      <w:r w:rsidR="00975E67" w:rsidRPr="00975E67">
        <w:rPr>
          <w:rFonts w:ascii="Sylfaen" w:hAnsi="Sylfaen"/>
          <w:szCs w:val="20"/>
        </w:rPr>
        <w:t>(The Armenian Prelacy of Lebanon, c1990), 65 &amp; 68).</w:t>
      </w:r>
    </w:p>
  </w:footnote>
  <w:footnote w:id="38">
    <w:p w14:paraId="081BE31D" w14:textId="71990EA2" w:rsidR="00975E67" w:rsidRPr="005E178E" w:rsidRDefault="00975E67" w:rsidP="005E178E">
      <w:pPr>
        <w:pStyle w:val="FootnoteText"/>
        <w:jc w:val="both"/>
        <w:rPr>
          <w:rFonts w:ascii="Sylfaen" w:hAnsi="Sylfaen"/>
          <w:lang w:val="en-US"/>
        </w:rPr>
      </w:pPr>
      <w:r w:rsidRPr="005E178E">
        <w:rPr>
          <w:rStyle w:val="FootnoteReference"/>
          <w:rFonts w:ascii="Sylfaen" w:hAnsi="Sylfaen"/>
        </w:rPr>
        <w:footnoteRef/>
      </w:r>
      <w:r w:rsidRPr="005E178E">
        <w:rPr>
          <w:rFonts w:ascii="Sylfaen" w:hAnsi="Sylfaen"/>
        </w:rPr>
        <w:t xml:space="preserve"> </w:t>
      </w:r>
      <w:r w:rsidR="005E178E" w:rsidRPr="005E178E">
        <w:rPr>
          <w:rFonts w:ascii="Sylfaen" w:hAnsi="Sylfaen"/>
          <w:szCs w:val="20"/>
        </w:rPr>
        <w:t xml:space="preserve">Kevin Quast, </w:t>
      </w:r>
      <w:r w:rsidR="005E178E" w:rsidRPr="005E178E">
        <w:rPr>
          <w:rFonts w:ascii="Sylfaen" w:hAnsi="Sylfaen"/>
          <w:i/>
          <w:iCs/>
          <w:szCs w:val="20"/>
        </w:rPr>
        <w:t>Reading the Corinthian Correspondence,</w:t>
      </w:r>
      <w:r w:rsidR="005E178E" w:rsidRPr="005E178E">
        <w:rPr>
          <w:rFonts w:ascii="Sylfaen" w:hAnsi="Sylfaen"/>
          <w:szCs w:val="20"/>
        </w:rPr>
        <w:t xml:space="preserve"> 63.</w:t>
      </w:r>
    </w:p>
  </w:footnote>
  <w:footnote w:id="39">
    <w:p w14:paraId="5E9FEF00" w14:textId="4DB15F17" w:rsidR="005E178E" w:rsidRPr="005E178E" w:rsidRDefault="005E178E">
      <w:pPr>
        <w:pStyle w:val="FootnoteText"/>
        <w:rPr>
          <w:lang w:val="en-US"/>
        </w:rPr>
      </w:pPr>
      <w:r>
        <w:rPr>
          <w:rStyle w:val="FootnoteReference"/>
        </w:rPr>
        <w:footnoteRef/>
      </w:r>
      <w:r>
        <w:t xml:space="preserve"> </w:t>
      </w:r>
      <w:r w:rsidRPr="005E178E">
        <w:rPr>
          <w:rFonts w:ascii="Sylfaen" w:hAnsi="Sylfaen"/>
          <w:i/>
          <w:iCs/>
          <w:szCs w:val="20"/>
        </w:rPr>
        <w:t>The Interpreter’s Bible,</w:t>
      </w:r>
      <w:r w:rsidRPr="005E178E">
        <w:rPr>
          <w:rFonts w:ascii="Sylfaen" w:hAnsi="Sylfaen"/>
          <w:szCs w:val="20"/>
        </w:rPr>
        <w:t xml:space="preserve"> v. I, 958–959.</w:t>
      </w:r>
    </w:p>
  </w:footnote>
  <w:footnote w:id="40">
    <w:p w14:paraId="50B305AF" w14:textId="34BA1867" w:rsidR="005E178E" w:rsidRPr="00085288" w:rsidRDefault="005E178E" w:rsidP="00085288">
      <w:pPr>
        <w:pStyle w:val="FootnoteText"/>
        <w:jc w:val="both"/>
        <w:rPr>
          <w:rFonts w:ascii="Sylfaen" w:hAnsi="Sylfaen"/>
          <w:lang w:val="en-US"/>
        </w:rPr>
      </w:pPr>
      <w:r w:rsidRPr="00085288">
        <w:rPr>
          <w:rStyle w:val="FootnoteReference"/>
          <w:rFonts w:ascii="Sylfaen" w:hAnsi="Sylfaen"/>
        </w:rPr>
        <w:footnoteRef/>
      </w:r>
      <w:r w:rsidRPr="00085288">
        <w:rPr>
          <w:rFonts w:ascii="Sylfaen" w:hAnsi="Sylfaen"/>
        </w:rPr>
        <w:t xml:space="preserve"> </w:t>
      </w:r>
      <w:r w:rsidR="00085288" w:rsidRPr="00085288">
        <w:rPr>
          <w:rFonts w:ascii="Sylfaen" w:hAnsi="Sylfaen"/>
          <w:i/>
          <w:iCs/>
          <w:szCs w:val="20"/>
        </w:rPr>
        <w:t>The Book of Hours or the Order of Common Prayers of the Armenian Apostolic Orthodox Church,</w:t>
      </w:r>
      <w:r w:rsidR="00085288" w:rsidRPr="00085288">
        <w:rPr>
          <w:rFonts w:ascii="Sylfaen" w:hAnsi="Sylfaen"/>
          <w:szCs w:val="20"/>
        </w:rPr>
        <w:t xml:space="preserve"> (Evanston, Illinois: Ouzounian House, c1964),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D1066"/>
    <w:multiLevelType w:val="hybridMultilevel"/>
    <w:tmpl w:val="768C5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D684AA5"/>
    <w:multiLevelType w:val="hybridMultilevel"/>
    <w:tmpl w:val="B88A16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7D66E78"/>
    <w:multiLevelType w:val="hybridMultilevel"/>
    <w:tmpl w:val="F2043E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006364"/>
    <w:multiLevelType w:val="hybridMultilevel"/>
    <w:tmpl w:val="311A1D5C"/>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29155418">
    <w:abstractNumId w:val="1"/>
  </w:num>
  <w:num w:numId="2" w16cid:durableId="1928079283">
    <w:abstractNumId w:val="3"/>
  </w:num>
  <w:num w:numId="3" w16cid:durableId="932709214">
    <w:abstractNumId w:val="2"/>
  </w:num>
  <w:num w:numId="4" w16cid:durableId="5738566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51E"/>
    <w:rsid w:val="000054F3"/>
    <w:rsid w:val="00014460"/>
    <w:rsid w:val="00037BE4"/>
    <w:rsid w:val="00085288"/>
    <w:rsid w:val="000B46C8"/>
    <w:rsid w:val="000D6D98"/>
    <w:rsid w:val="000D783F"/>
    <w:rsid w:val="000D798C"/>
    <w:rsid w:val="000E351E"/>
    <w:rsid w:val="000E61A8"/>
    <w:rsid w:val="00157BF2"/>
    <w:rsid w:val="001A30F9"/>
    <w:rsid w:val="00221324"/>
    <w:rsid w:val="002473B2"/>
    <w:rsid w:val="002A2063"/>
    <w:rsid w:val="002C36CA"/>
    <w:rsid w:val="00364D38"/>
    <w:rsid w:val="003D7CBC"/>
    <w:rsid w:val="00442DEA"/>
    <w:rsid w:val="004C2E9D"/>
    <w:rsid w:val="004C731A"/>
    <w:rsid w:val="004E1010"/>
    <w:rsid w:val="005824C9"/>
    <w:rsid w:val="005A6838"/>
    <w:rsid w:val="005B0B11"/>
    <w:rsid w:val="005E178E"/>
    <w:rsid w:val="005F0ABD"/>
    <w:rsid w:val="00665171"/>
    <w:rsid w:val="00683CBF"/>
    <w:rsid w:val="006A3A86"/>
    <w:rsid w:val="00771019"/>
    <w:rsid w:val="007D7895"/>
    <w:rsid w:val="00821B58"/>
    <w:rsid w:val="008B7308"/>
    <w:rsid w:val="008E21A3"/>
    <w:rsid w:val="008F0FD7"/>
    <w:rsid w:val="00921608"/>
    <w:rsid w:val="00975E67"/>
    <w:rsid w:val="00A56029"/>
    <w:rsid w:val="00A56587"/>
    <w:rsid w:val="00A93792"/>
    <w:rsid w:val="00AB79BB"/>
    <w:rsid w:val="00AF24EC"/>
    <w:rsid w:val="00B41865"/>
    <w:rsid w:val="00B62BB4"/>
    <w:rsid w:val="00B74BC2"/>
    <w:rsid w:val="00B90394"/>
    <w:rsid w:val="00C21B9E"/>
    <w:rsid w:val="00CC1C57"/>
    <w:rsid w:val="00D47585"/>
    <w:rsid w:val="00D63C55"/>
    <w:rsid w:val="00DA68BD"/>
    <w:rsid w:val="00DC7F39"/>
    <w:rsid w:val="00DF1A93"/>
    <w:rsid w:val="00E0048A"/>
    <w:rsid w:val="00E32201"/>
    <w:rsid w:val="00E3525E"/>
    <w:rsid w:val="00E97EE4"/>
    <w:rsid w:val="00FE6CC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A11E"/>
  <w15:chartTrackingRefBased/>
  <w15:docId w15:val="{351A9D0E-2185-564B-9501-C594A291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51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0E35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E35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351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351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351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E35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5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5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5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5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E35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351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351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E351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E35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35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35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35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35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51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E35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5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35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E351E"/>
    <w:rPr>
      <w:i/>
      <w:iCs/>
      <w:color w:val="404040" w:themeColor="text1" w:themeTint="BF"/>
    </w:rPr>
  </w:style>
  <w:style w:type="paragraph" w:styleId="ListParagraph">
    <w:name w:val="List Paragraph"/>
    <w:basedOn w:val="Normal"/>
    <w:uiPriority w:val="34"/>
    <w:qFormat/>
    <w:rsid w:val="000E351E"/>
    <w:pPr>
      <w:ind w:left="720"/>
      <w:contextualSpacing/>
    </w:pPr>
  </w:style>
  <w:style w:type="character" w:styleId="IntenseEmphasis">
    <w:name w:val="Intense Emphasis"/>
    <w:basedOn w:val="DefaultParagraphFont"/>
    <w:uiPriority w:val="21"/>
    <w:qFormat/>
    <w:rsid w:val="000E351E"/>
    <w:rPr>
      <w:i/>
      <w:iCs/>
      <w:color w:val="2F5496" w:themeColor="accent1" w:themeShade="BF"/>
    </w:rPr>
  </w:style>
  <w:style w:type="paragraph" w:styleId="IntenseQuote">
    <w:name w:val="Intense Quote"/>
    <w:basedOn w:val="Normal"/>
    <w:next w:val="Normal"/>
    <w:link w:val="IntenseQuoteChar"/>
    <w:uiPriority w:val="30"/>
    <w:qFormat/>
    <w:rsid w:val="000E35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351E"/>
    <w:rPr>
      <w:i/>
      <w:iCs/>
      <w:color w:val="2F5496" w:themeColor="accent1" w:themeShade="BF"/>
    </w:rPr>
  </w:style>
  <w:style w:type="character" w:styleId="IntenseReference">
    <w:name w:val="Intense Reference"/>
    <w:basedOn w:val="DefaultParagraphFont"/>
    <w:uiPriority w:val="32"/>
    <w:qFormat/>
    <w:rsid w:val="000E351E"/>
    <w:rPr>
      <w:b/>
      <w:bCs/>
      <w:smallCaps/>
      <w:color w:val="2F5496" w:themeColor="accent1" w:themeShade="BF"/>
      <w:spacing w:val="5"/>
    </w:rPr>
  </w:style>
  <w:style w:type="paragraph" w:styleId="BodyText">
    <w:name w:val="Body Text"/>
    <w:basedOn w:val="Normal"/>
    <w:link w:val="BodyTextChar"/>
    <w:uiPriority w:val="99"/>
    <w:unhideWhenUsed/>
    <w:rsid w:val="000E351E"/>
    <w:pPr>
      <w:spacing w:after="120"/>
    </w:pPr>
  </w:style>
  <w:style w:type="character" w:customStyle="1" w:styleId="BodyTextChar">
    <w:name w:val="Body Text Char"/>
    <w:basedOn w:val="DefaultParagraphFont"/>
    <w:link w:val="BodyText"/>
    <w:uiPriority w:val="99"/>
    <w:rsid w:val="000E351E"/>
    <w:rPr>
      <w:rFonts w:ascii="Times New Roman" w:eastAsia="Times New Roman" w:hAnsi="Times New Roman" w:cs="Times New Roman"/>
      <w:color w:val="auto"/>
    </w:rPr>
  </w:style>
  <w:style w:type="paragraph" w:styleId="FootnoteText">
    <w:name w:val="footnote text"/>
    <w:basedOn w:val="Normal"/>
    <w:link w:val="FootnoteTextChar"/>
    <w:uiPriority w:val="99"/>
    <w:rsid w:val="000E351E"/>
    <w:rPr>
      <w:sz w:val="20"/>
    </w:rPr>
  </w:style>
  <w:style w:type="character" w:customStyle="1" w:styleId="FootnoteTextChar">
    <w:name w:val="Footnote Text Char"/>
    <w:basedOn w:val="DefaultParagraphFont"/>
    <w:link w:val="FootnoteText"/>
    <w:uiPriority w:val="99"/>
    <w:rsid w:val="000E351E"/>
    <w:rPr>
      <w:rFonts w:ascii="Times New Roman" w:eastAsia="Times New Roman" w:hAnsi="Times New Roman" w:cs="Times New Roman"/>
      <w:color w:val="auto"/>
      <w:sz w:val="20"/>
    </w:rPr>
  </w:style>
  <w:style w:type="character" w:styleId="Hyperlink">
    <w:name w:val="Hyperlink"/>
    <w:basedOn w:val="DefaultParagraphFont"/>
    <w:rsid w:val="000E351E"/>
    <w:rPr>
      <w:color w:val="0000FF"/>
      <w:u w:val="single"/>
    </w:rPr>
  </w:style>
  <w:style w:type="paragraph" w:customStyle="1" w:styleId="p55">
    <w:name w:val="p55"/>
    <w:basedOn w:val="Normal"/>
    <w:rsid w:val="000E351E"/>
    <w:pPr>
      <w:widowControl w:val="0"/>
      <w:tabs>
        <w:tab w:val="left" w:pos="260"/>
      </w:tabs>
      <w:autoSpaceDE w:val="0"/>
      <w:autoSpaceDN w:val="0"/>
      <w:spacing w:line="240" w:lineRule="atLeast"/>
      <w:ind w:left="1180"/>
    </w:pPr>
  </w:style>
  <w:style w:type="paragraph" w:customStyle="1" w:styleId="p2">
    <w:name w:val="p2"/>
    <w:basedOn w:val="Normal"/>
    <w:rsid w:val="000E351E"/>
    <w:pPr>
      <w:widowControl w:val="0"/>
      <w:tabs>
        <w:tab w:val="left" w:pos="720"/>
      </w:tabs>
      <w:autoSpaceDE w:val="0"/>
      <w:autoSpaceDN w:val="0"/>
      <w:spacing w:line="240" w:lineRule="atLeast"/>
      <w:jc w:val="both"/>
    </w:pPr>
  </w:style>
  <w:style w:type="character" w:styleId="FootnoteReference">
    <w:name w:val="footnote reference"/>
    <w:basedOn w:val="DefaultParagraphFont"/>
    <w:uiPriority w:val="99"/>
    <w:semiHidden/>
    <w:unhideWhenUsed/>
    <w:rsid w:val="005B0B11"/>
    <w:rPr>
      <w:vertAlign w:val="superscript"/>
    </w:rPr>
  </w:style>
  <w:style w:type="paragraph" w:styleId="Footer">
    <w:name w:val="footer"/>
    <w:basedOn w:val="Normal"/>
    <w:link w:val="FooterChar"/>
    <w:uiPriority w:val="99"/>
    <w:unhideWhenUsed/>
    <w:rsid w:val="00221324"/>
    <w:pPr>
      <w:tabs>
        <w:tab w:val="center" w:pos="4680"/>
        <w:tab w:val="right" w:pos="9360"/>
      </w:tabs>
    </w:pPr>
  </w:style>
  <w:style w:type="character" w:customStyle="1" w:styleId="FooterChar">
    <w:name w:val="Footer Char"/>
    <w:basedOn w:val="DefaultParagraphFont"/>
    <w:link w:val="Footer"/>
    <w:uiPriority w:val="99"/>
    <w:rsid w:val="0022132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21324"/>
  </w:style>
  <w:style w:type="paragraph" w:styleId="EndnoteText">
    <w:name w:val="endnote text"/>
    <w:basedOn w:val="Normal"/>
    <w:link w:val="EndnoteTextChar"/>
    <w:uiPriority w:val="99"/>
    <w:semiHidden/>
    <w:unhideWhenUsed/>
    <w:rsid w:val="00DA68BD"/>
    <w:rPr>
      <w:sz w:val="20"/>
      <w:szCs w:val="20"/>
    </w:rPr>
  </w:style>
  <w:style w:type="character" w:customStyle="1" w:styleId="EndnoteTextChar">
    <w:name w:val="Endnote Text Char"/>
    <w:basedOn w:val="DefaultParagraphFont"/>
    <w:link w:val="EndnoteText"/>
    <w:uiPriority w:val="99"/>
    <w:semiHidden/>
    <w:rsid w:val="00DA68BD"/>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DA68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groong.usc.edu/news/msg750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A68CC-42F5-5F49-BA2E-D9DD211C2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19</Pages>
  <Words>4563</Words>
  <Characters>26014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2026-07-09T13:10:00Z</dcterms:created>
  <dcterms:modified xsi:type="dcterms:W3CDTF">2026-07-09T16:45:00Z</dcterms:modified>
</cp:coreProperties>
</file>