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44D48" w14:textId="4FAE073D" w:rsidR="005B23EC" w:rsidRPr="005B23EC" w:rsidRDefault="005B23EC" w:rsidP="005B23EC">
      <w:pPr>
        <w:pStyle w:val="Title"/>
        <w:jc w:val="center"/>
        <w:rPr>
          <w:rFonts w:ascii="Sylfaen" w:hAnsi="Sylfaen"/>
          <w:sz w:val="32"/>
          <w:szCs w:val="32"/>
        </w:rPr>
      </w:pPr>
      <w:r w:rsidRPr="005B23EC">
        <w:rPr>
          <w:rFonts w:ascii="Sylfaen" w:hAnsi="Sylfaen"/>
          <w:sz w:val="32"/>
          <w:szCs w:val="32"/>
        </w:rPr>
        <w:t>REFLECTION AND OBSERVATION</w:t>
      </w:r>
    </w:p>
    <w:p w14:paraId="29058625" w14:textId="625896EF" w:rsidR="005B23EC" w:rsidRPr="005B23EC" w:rsidRDefault="005B23EC" w:rsidP="005B23EC">
      <w:pPr>
        <w:pStyle w:val="Title"/>
        <w:jc w:val="center"/>
        <w:rPr>
          <w:rFonts w:ascii="Sylfaen" w:hAnsi="Sylfaen"/>
          <w:sz w:val="32"/>
          <w:szCs w:val="32"/>
        </w:rPr>
      </w:pPr>
      <w:r w:rsidRPr="005B23EC">
        <w:rPr>
          <w:rFonts w:ascii="Sylfaen" w:hAnsi="Sylfaen"/>
          <w:sz w:val="32"/>
          <w:szCs w:val="32"/>
        </w:rPr>
        <w:t xml:space="preserve">ON </w:t>
      </w:r>
      <w:r w:rsidRPr="005B23EC">
        <w:rPr>
          <w:rFonts w:ascii="Sylfaen" w:hAnsi="Sylfaen"/>
          <w:i/>
          <w:iCs/>
          <w:sz w:val="32"/>
          <w:szCs w:val="32"/>
        </w:rPr>
        <w:t>MODELS OF LITURGICAL THEOLODY</w:t>
      </w:r>
    </w:p>
    <w:p w14:paraId="53F7FBC1" w14:textId="7BA34A14" w:rsidR="005B23EC" w:rsidRPr="005B23EC" w:rsidRDefault="005B23EC" w:rsidP="005B23EC">
      <w:pPr>
        <w:pStyle w:val="Title"/>
        <w:jc w:val="center"/>
        <w:rPr>
          <w:rFonts w:ascii="Sylfaen" w:hAnsi="Sylfaen"/>
          <w:sz w:val="32"/>
          <w:szCs w:val="32"/>
        </w:rPr>
      </w:pPr>
      <w:r w:rsidRPr="005B23EC">
        <w:rPr>
          <w:rFonts w:ascii="Sylfaen" w:hAnsi="Sylfaen"/>
          <w:sz w:val="32"/>
          <w:szCs w:val="32"/>
        </w:rPr>
        <w:t>BY JAMES EMPEREUR,</w:t>
      </w:r>
    </w:p>
    <w:p w14:paraId="6B81EB6F" w14:textId="77777777" w:rsidR="005B23EC" w:rsidRPr="005B23EC" w:rsidRDefault="005B23EC" w:rsidP="005B23EC">
      <w:pPr>
        <w:pStyle w:val="Title"/>
        <w:jc w:val="center"/>
        <w:rPr>
          <w:rFonts w:ascii="Sylfaen" w:hAnsi="Sylfaen"/>
          <w:sz w:val="32"/>
          <w:szCs w:val="32"/>
        </w:rPr>
      </w:pPr>
      <w:r w:rsidRPr="005B23EC">
        <w:rPr>
          <w:rFonts w:ascii="Sylfaen" w:hAnsi="Sylfaen"/>
          <w:iCs/>
          <w:sz w:val="32"/>
          <w:szCs w:val="32"/>
        </w:rPr>
        <w:t>JESUIT SCHOOL OF THEOLOGY, BERKELEY, U.S.A., c1987</w:t>
      </w:r>
    </w:p>
    <w:p w14:paraId="7231F6BC" w14:textId="77777777" w:rsidR="005B23EC" w:rsidRPr="00E627AD" w:rsidRDefault="005B23EC" w:rsidP="005B23EC">
      <w:pPr>
        <w:pStyle w:val="Title"/>
        <w:jc w:val="both"/>
        <w:rPr>
          <w:rFonts w:ascii="Sylfaen" w:hAnsi="Sylfaen"/>
          <w:bCs/>
          <w:sz w:val="28"/>
          <w:szCs w:val="28"/>
        </w:rPr>
      </w:pPr>
    </w:p>
    <w:p w14:paraId="01D37C6B" w14:textId="77777777" w:rsidR="005B23EC" w:rsidRPr="00E627AD" w:rsidRDefault="005B23EC" w:rsidP="005B23EC">
      <w:pPr>
        <w:pStyle w:val="Title"/>
        <w:jc w:val="both"/>
        <w:rPr>
          <w:rFonts w:ascii="Sylfaen" w:hAnsi="Sylfaen"/>
          <w:bCs/>
          <w:sz w:val="28"/>
          <w:szCs w:val="28"/>
        </w:rPr>
      </w:pPr>
      <w:r w:rsidRPr="00E627AD">
        <w:rPr>
          <w:rFonts w:ascii="Sylfaen" w:hAnsi="Sylfaen"/>
          <w:bCs/>
          <w:sz w:val="28"/>
          <w:szCs w:val="28"/>
        </w:rPr>
        <w:t>Month of May 2000 has been less hectic with travels for me. I had the unique opportunity of participating in the daily matins and vespers of my Brotherhood at the Cathedral in Antelias</w:t>
      </w:r>
      <w:r>
        <w:rPr>
          <w:rFonts w:ascii="Sylfaen" w:hAnsi="Sylfaen"/>
          <w:bCs/>
          <w:sz w:val="28"/>
          <w:szCs w:val="28"/>
        </w:rPr>
        <w:t>-Lebanon</w:t>
      </w:r>
      <w:r w:rsidRPr="00E627AD">
        <w:rPr>
          <w:rFonts w:ascii="Sylfaen" w:hAnsi="Sylfaen"/>
          <w:bCs/>
          <w:sz w:val="28"/>
          <w:szCs w:val="28"/>
        </w:rPr>
        <w:t>. Also, it was marked with two ecumenical meetings hosted by the Armenian Catholicosate of Cilicia, at its headquarters in Lebanon, and required my immediate involvement and supervision in their planning, and active participation in their deliberations. All these enriched my liturgical theological experiences on which I would like to reflect in this assignment.</w:t>
      </w:r>
    </w:p>
    <w:p w14:paraId="2958BA90" w14:textId="77777777" w:rsidR="005B23EC" w:rsidRPr="00E627AD" w:rsidRDefault="005B23EC" w:rsidP="005B23EC">
      <w:pPr>
        <w:pStyle w:val="Title"/>
        <w:jc w:val="both"/>
        <w:rPr>
          <w:rFonts w:ascii="Sylfaen" w:hAnsi="Sylfaen"/>
          <w:bCs/>
          <w:sz w:val="28"/>
          <w:szCs w:val="28"/>
        </w:rPr>
      </w:pPr>
    </w:p>
    <w:p w14:paraId="4BF9E7CD" w14:textId="77777777" w:rsidR="005B23EC" w:rsidRPr="008510E7" w:rsidRDefault="005B23EC" w:rsidP="005B23EC">
      <w:pPr>
        <w:pStyle w:val="Title"/>
        <w:jc w:val="both"/>
        <w:rPr>
          <w:rFonts w:ascii="Sylfaen" w:hAnsi="Sylfaen"/>
          <w:bCs/>
          <w:sz w:val="28"/>
          <w:szCs w:val="28"/>
        </w:rPr>
      </w:pPr>
      <w:r>
        <w:rPr>
          <w:rFonts w:ascii="Sylfaen" w:hAnsi="Sylfaen"/>
          <w:bCs/>
          <w:sz w:val="28"/>
          <w:szCs w:val="28"/>
        </w:rPr>
        <w:t xml:space="preserve">(1) </w:t>
      </w:r>
      <w:r w:rsidRPr="00E627AD">
        <w:rPr>
          <w:rFonts w:ascii="Sylfaen" w:hAnsi="Sylfaen"/>
          <w:bCs/>
          <w:sz w:val="28"/>
          <w:szCs w:val="28"/>
        </w:rPr>
        <w:t>May 4</w:t>
      </w:r>
      <w:r>
        <w:rPr>
          <w:rFonts w:ascii="Sylfaen" w:hAnsi="Sylfaen"/>
          <w:bCs/>
          <w:sz w:val="28"/>
          <w:szCs w:val="28"/>
        </w:rPr>
        <w:t>–</w:t>
      </w:r>
      <w:r w:rsidRPr="008510E7">
        <w:rPr>
          <w:rFonts w:ascii="Sylfaen" w:hAnsi="Sylfaen"/>
          <w:bCs/>
          <w:sz w:val="28"/>
          <w:szCs w:val="28"/>
        </w:rPr>
        <w:t>9, the three Heads of the Oriental Orthodox Churches (Coptic, Syrian and Armenian) in the Middle East convened their third annual meeting; (2) May 24</w:t>
      </w:r>
      <w:r>
        <w:rPr>
          <w:rFonts w:ascii="Sylfaen" w:hAnsi="Sylfaen"/>
          <w:bCs/>
          <w:sz w:val="28"/>
          <w:szCs w:val="28"/>
        </w:rPr>
        <w:t>–</w:t>
      </w:r>
      <w:r w:rsidRPr="008510E7">
        <w:rPr>
          <w:rFonts w:ascii="Sylfaen" w:hAnsi="Sylfaen"/>
          <w:bCs/>
          <w:sz w:val="28"/>
          <w:szCs w:val="28"/>
        </w:rPr>
        <w:t>31, the Joint Working Group between the Roman Catholic Church and the World Council of Churches held their first post-Harare Assembly meeting.</w:t>
      </w:r>
    </w:p>
    <w:p w14:paraId="4D3E8AE0" w14:textId="77777777" w:rsidR="005B23EC" w:rsidRPr="00E627AD" w:rsidRDefault="005B23EC" w:rsidP="005B23EC">
      <w:pPr>
        <w:pStyle w:val="Title"/>
        <w:jc w:val="both"/>
        <w:rPr>
          <w:rFonts w:ascii="Sylfaen" w:hAnsi="Sylfaen"/>
          <w:bCs/>
          <w:sz w:val="28"/>
          <w:szCs w:val="28"/>
        </w:rPr>
      </w:pPr>
    </w:p>
    <w:p w14:paraId="73628053" w14:textId="77777777" w:rsidR="005B23EC" w:rsidRPr="00E627AD" w:rsidRDefault="005B23EC" w:rsidP="005B23EC">
      <w:pPr>
        <w:pStyle w:val="Title"/>
        <w:jc w:val="both"/>
        <w:rPr>
          <w:rFonts w:ascii="Sylfaen" w:hAnsi="Sylfaen"/>
          <w:bCs/>
          <w:sz w:val="28"/>
          <w:szCs w:val="28"/>
        </w:rPr>
      </w:pPr>
      <w:r w:rsidRPr="00E627AD">
        <w:rPr>
          <w:rFonts w:ascii="Sylfaen" w:hAnsi="Sylfaen"/>
          <w:bCs/>
          <w:sz w:val="28"/>
          <w:szCs w:val="28"/>
        </w:rPr>
        <w:t xml:space="preserve">I was fascinated with Empereur’s exposition of the association between liturgy and theology, and its manifestation in the daily worship of my Brotherhood and the matins of the Joint Working Group. This association was taught in our course of theology at the seminary but was practically demonstrated through the reading and critical analysis of the </w:t>
      </w:r>
      <w:r w:rsidRPr="00E627AD">
        <w:rPr>
          <w:rFonts w:ascii="Sylfaen" w:hAnsi="Sylfaen"/>
          <w:bCs/>
          <w:i/>
          <w:sz w:val="28"/>
          <w:szCs w:val="28"/>
        </w:rPr>
        <w:t>Models of Liturgical Theology</w:t>
      </w:r>
      <w:r w:rsidRPr="00E627AD">
        <w:rPr>
          <w:rFonts w:ascii="Sylfaen" w:hAnsi="Sylfaen"/>
          <w:bCs/>
          <w:sz w:val="28"/>
          <w:szCs w:val="28"/>
        </w:rPr>
        <w:t>, by evoking the following realities summarized as guideposts to my reflections:</w:t>
      </w:r>
    </w:p>
    <w:p w14:paraId="24E1DEE6" w14:textId="77777777" w:rsidR="005B23EC" w:rsidRPr="00E627AD" w:rsidRDefault="005B23EC" w:rsidP="005B23EC">
      <w:pPr>
        <w:pStyle w:val="Title"/>
        <w:jc w:val="both"/>
        <w:rPr>
          <w:rFonts w:ascii="Sylfaen" w:hAnsi="Sylfaen"/>
          <w:bCs/>
          <w:sz w:val="28"/>
          <w:szCs w:val="28"/>
        </w:rPr>
      </w:pPr>
    </w:p>
    <w:p w14:paraId="0830E2DE" w14:textId="77777777" w:rsidR="005B23EC" w:rsidRPr="00E627AD" w:rsidRDefault="005B23EC" w:rsidP="005B23EC">
      <w:pPr>
        <w:pStyle w:val="Title"/>
        <w:numPr>
          <w:ilvl w:val="0"/>
          <w:numId w:val="1"/>
        </w:numPr>
        <w:spacing w:after="0"/>
        <w:contextualSpacing w:val="0"/>
        <w:jc w:val="both"/>
        <w:rPr>
          <w:rFonts w:ascii="Sylfaen" w:hAnsi="Sylfaen"/>
          <w:bCs/>
          <w:sz w:val="28"/>
          <w:szCs w:val="28"/>
        </w:rPr>
      </w:pPr>
      <w:r w:rsidRPr="00E627AD">
        <w:rPr>
          <w:rFonts w:ascii="Sylfaen" w:hAnsi="Sylfaen"/>
          <w:bCs/>
          <w:sz w:val="28"/>
          <w:szCs w:val="28"/>
        </w:rPr>
        <w:t xml:space="preserve">Liturgy differs from any other activity (concert, sportive activity, play, movie, public gathering, lecture etc.) with its extension in the life of the believers beyond its limited holy place, time and space. A Romanian theologian friend, Fr. Ion Bria, defines this reality as </w:t>
      </w:r>
      <w:r w:rsidRPr="00E627AD">
        <w:rPr>
          <w:rFonts w:ascii="Sylfaen" w:hAnsi="Sylfaen"/>
          <w:bCs/>
          <w:i/>
          <w:sz w:val="28"/>
          <w:szCs w:val="28"/>
        </w:rPr>
        <w:t>“liturgy after liturgy.”</w:t>
      </w:r>
    </w:p>
    <w:p w14:paraId="567C12CC" w14:textId="77777777" w:rsidR="005B23EC" w:rsidRDefault="005B23EC" w:rsidP="005B23EC">
      <w:pPr>
        <w:pStyle w:val="Title"/>
        <w:ind w:left="720"/>
        <w:jc w:val="both"/>
        <w:rPr>
          <w:rFonts w:ascii="Sylfaen" w:hAnsi="Sylfaen"/>
          <w:bCs/>
          <w:sz w:val="28"/>
          <w:szCs w:val="28"/>
        </w:rPr>
      </w:pPr>
    </w:p>
    <w:p w14:paraId="70EA0621" w14:textId="77777777" w:rsidR="005B23EC" w:rsidRDefault="005B23EC" w:rsidP="005B23EC">
      <w:pPr>
        <w:pStyle w:val="Title"/>
        <w:numPr>
          <w:ilvl w:val="0"/>
          <w:numId w:val="1"/>
        </w:numPr>
        <w:spacing w:after="0"/>
        <w:contextualSpacing w:val="0"/>
        <w:jc w:val="both"/>
        <w:rPr>
          <w:rFonts w:ascii="Sylfaen" w:hAnsi="Sylfaen"/>
          <w:bCs/>
          <w:sz w:val="28"/>
          <w:szCs w:val="28"/>
        </w:rPr>
      </w:pPr>
      <w:r w:rsidRPr="00E627AD">
        <w:rPr>
          <w:rFonts w:ascii="Sylfaen" w:hAnsi="Sylfaen"/>
          <w:bCs/>
          <w:sz w:val="28"/>
          <w:szCs w:val="28"/>
        </w:rPr>
        <w:t xml:space="preserve">Empereur’s definition of liturgical models as windows in a house reminds me of the identification of icons as “windows to heaven” in the Orthodox iconography. From each window various colors, qualities, and kinds of light penetrates into our life and witness. </w:t>
      </w:r>
      <w:r w:rsidRPr="008510E7">
        <w:rPr>
          <w:rFonts w:ascii="Sylfaen" w:hAnsi="Sylfaen"/>
          <w:bCs/>
          <w:iCs/>
          <w:sz w:val="28"/>
          <w:szCs w:val="28"/>
        </w:rPr>
        <w:t xml:space="preserve">“It is important to use liturgical models, all of them, together so </w:t>
      </w:r>
      <w:r w:rsidRPr="008510E7">
        <w:rPr>
          <w:rFonts w:ascii="Sylfaen" w:hAnsi="Sylfaen"/>
          <w:bCs/>
          <w:iCs/>
          <w:sz w:val="28"/>
          <w:szCs w:val="28"/>
        </w:rPr>
        <w:lastRenderedPageBreak/>
        <w:t xml:space="preserve">that they can be mutually self-correcting,” </w:t>
      </w:r>
      <w:r w:rsidRPr="00E627AD">
        <w:rPr>
          <w:rFonts w:ascii="Sylfaen" w:hAnsi="Sylfaen"/>
          <w:bCs/>
          <w:sz w:val="28"/>
          <w:szCs w:val="28"/>
        </w:rPr>
        <w:t xml:space="preserve">writes Empereur. This can be achieved in the ecumenical circles where respect to different liturgical models and mutual trust were built. On Sunday, May 28, Bishop Walter Kasper, the </w:t>
      </w:r>
      <w:r>
        <w:rPr>
          <w:rFonts w:ascii="Sylfaen" w:hAnsi="Sylfaen"/>
          <w:bCs/>
          <w:sz w:val="28"/>
          <w:szCs w:val="28"/>
        </w:rPr>
        <w:t>S</w:t>
      </w:r>
      <w:r w:rsidRPr="00E627AD">
        <w:rPr>
          <w:rFonts w:ascii="Sylfaen" w:hAnsi="Sylfaen"/>
          <w:bCs/>
          <w:sz w:val="28"/>
          <w:szCs w:val="28"/>
        </w:rPr>
        <w:t>ecretary of the Pontifical Council for Promoting Christian Unity at the Vatican, was the guest preacher in our Cathedral and I had the joy of translating his sermon into Armenian to our faithful. He spoke on the Christian love as the pre-condition f</w:t>
      </w:r>
      <w:r>
        <w:rPr>
          <w:rFonts w:ascii="Sylfaen" w:hAnsi="Sylfaen"/>
          <w:bCs/>
          <w:sz w:val="28"/>
          <w:szCs w:val="28"/>
        </w:rPr>
        <w:t>or</w:t>
      </w:r>
      <w:r w:rsidRPr="00E627AD">
        <w:rPr>
          <w:rFonts w:ascii="Sylfaen" w:hAnsi="Sylfaen"/>
          <w:bCs/>
          <w:sz w:val="28"/>
          <w:szCs w:val="28"/>
        </w:rPr>
        <w:t xml:space="preserve"> the unity of the Church. His words were clear indication of the major positive shift in the definition of the unity of the Church we see reflected in the post-Vatican II Roman Catholic Church.</w:t>
      </w:r>
    </w:p>
    <w:p w14:paraId="5CFA2103" w14:textId="77777777" w:rsidR="005B23EC" w:rsidRPr="00E627AD" w:rsidRDefault="005B23EC" w:rsidP="005B23EC">
      <w:pPr>
        <w:pStyle w:val="Title"/>
        <w:jc w:val="both"/>
        <w:rPr>
          <w:rFonts w:ascii="Sylfaen" w:hAnsi="Sylfaen"/>
          <w:bCs/>
          <w:sz w:val="28"/>
          <w:szCs w:val="28"/>
        </w:rPr>
      </w:pPr>
    </w:p>
    <w:p w14:paraId="02D1680E" w14:textId="77777777" w:rsidR="005B23EC" w:rsidRPr="00E627AD" w:rsidRDefault="005B23EC" w:rsidP="005B23EC">
      <w:pPr>
        <w:pStyle w:val="Title"/>
        <w:numPr>
          <w:ilvl w:val="0"/>
          <w:numId w:val="1"/>
        </w:numPr>
        <w:spacing w:after="0"/>
        <w:contextualSpacing w:val="0"/>
        <w:jc w:val="both"/>
        <w:rPr>
          <w:rFonts w:ascii="Sylfaen" w:hAnsi="Sylfaen"/>
          <w:bCs/>
          <w:sz w:val="28"/>
          <w:szCs w:val="28"/>
        </w:rPr>
      </w:pPr>
      <w:r w:rsidRPr="00E627AD">
        <w:rPr>
          <w:rFonts w:ascii="Sylfaen" w:hAnsi="Sylfaen"/>
          <w:bCs/>
          <w:sz w:val="28"/>
          <w:szCs w:val="28"/>
        </w:rPr>
        <w:t>The mystical aspect of liturgy remains with us even if we lose this touch because of the superficiality dominating our worship almost in all churches nowadays. When I was serving in the Armenian parish of New Jersey I made a proposal to the Annual Clergy Conference to not celebrate holy liturgy every Sunday morning, but to switch between the celebration of the holy liturgy one Sunday and offering of matins prayer hour next Sunday. My proposal stirred an hour-long discussion and was not accepted on the basis that we cannot deprive our faithful from their regular habit of experiencing mystical union with Jesus through the receiving of the holy communion consecrated during the Sunday holy liturgy. The benefit of this proposal was the encouragement of the administration of the holy communion every Sunday.</w:t>
      </w:r>
    </w:p>
    <w:p w14:paraId="36918D25" w14:textId="77777777" w:rsidR="005B23EC" w:rsidRPr="00E627AD" w:rsidRDefault="005B23EC" w:rsidP="005B23EC">
      <w:pPr>
        <w:pStyle w:val="Title"/>
        <w:jc w:val="both"/>
        <w:rPr>
          <w:rFonts w:ascii="Sylfaen" w:hAnsi="Sylfaen"/>
          <w:bCs/>
          <w:sz w:val="28"/>
          <w:szCs w:val="28"/>
        </w:rPr>
      </w:pPr>
    </w:p>
    <w:p w14:paraId="08E096CB" w14:textId="77777777" w:rsidR="005B23EC" w:rsidRPr="00E627AD" w:rsidRDefault="005B23EC" w:rsidP="005C3F56">
      <w:pPr>
        <w:pStyle w:val="Title"/>
        <w:jc w:val="center"/>
        <w:rPr>
          <w:rFonts w:ascii="Sylfaen" w:hAnsi="Sylfaen"/>
          <w:bCs/>
          <w:sz w:val="28"/>
          <w:szCs w:val="28"/>
        </w:rPr>
      </w:pPr>
      <w:r w:rsidRPr="00E627AD">
        <w:rPr>
          <w:rFonts w:ascii="Sylfaen" w:hAnsi="Sylfaen"/>
          <w:bCs/>
          <w:sz w:val="28"/>
          <w:szCs w:val="28"/>
        </w:rPr>
        <w:t>*</w:t>
      </w:r>
      <w:r>
        <w:rPr>
          <w:rFonts w:ascii="Sylfaen" w:hAnsi="Sylfaen"/>
          <w:bCs/>
          <w:sz w:val="28"/>
          <w:szCs w:val="28"/>
        </w:rPr>
        <w:t xml:space="preserve"> </w:t>
      </w:r>
      <w:r w:rsidRPr="00E627AD">
        <w:rPr>
          <w:rFonts w:ascii="Sylfaen" w:hAnsi="Sylfaen"/>
          <w:bCs/>
          <w:sz w:val="28"/>
          <w:szCs w:val="28"/>
        </w:rPr>
        <w:t>* *</w:t>
      </w:r>
    </w:p>
    <w:p w14:paraId="2B05A5C4" w14:textId="77777777" w:rsidR="005B23EC" w:rsidRPr="00E627AD" w:rsidRDefault="005B23EC" w:rsidP="005B23EC">
      <w:pPr>
        <w:pStyle w:val="Title"/>
        <w:jc w:val="both"/>
        <w:rPr>
          <w:rFonts w:ascii="Sylfaen" w:hAnsi="Sylfaen"/>
          <w:bCs/>
          <w:sz w:val="28"/>
          <w:szCs w:val="28"/>
        </w:rPr>
      </w:pPr>
    </w:p>
    <w:p w14:paraId="12B516A4" w14:textId="77777777" w:rsidR="005B23EC" w:rsidRPr="00E627AD" w:rsidRDefault="005B23EC" w:rsidP="005B23EC">
      <w:pPr>
        <w:pStyle w:val="Title"/>
        <w:jc w:val="both"/>
        <w:rPr>
          <w:rFonts w:ascii="Sylfaen" w:hAnsi="Sylfaen"/>
          <w:bCs/>
          <w:sz w:val="28"/>
          <w:szCs w:val="28"/>
        </w:rPr>
      </w:pPr>
      <w:r w:rsidRPr="00E627AD">
        <w:rPr>
          <w:rFonts w:ascii="Sylfaen" w:hAnsi="Sylfaen"/>
          <w:bCs/>
          <w:sz w:val="28"/>
          <w:szCs w:val="28"/>
        </w:rPr>
        <w:t>The only liturgical model operative in the Armenian Apostolic Orthodox Church is the institutional model. Empereur’s characteristics of its description, spirituality and limitations apply to the Armenian Church governed by an institutional and hierarchical pattern, indicating the whole structure of the root-metaphors dominating its operation (See, p.</w:t>
      </w:r>
      <w:r>
        <w:rPr>
          <w:rFonts w:ascii="Sylfaen" w:hAnsi="Sylfaen"/>
          <w:bCs/>
          <w:sz w:val="28"/>
          <w:szCs w:val="28"/>
        </w:rPr>
        <w:t xml:space="preserve"> </w:t>
      </w:r>
      <w:r w:rsidRPr="00E627AD">
        <w:rPr>
          <w:rFonts w:ascii="Sylfaen" w:hAnsi="Sylfaen"/>
          <w:bCs/>
          <w:sz w:val="28"/>
          <w:szCs w:val="28"/>
        </w:rPr>
        <w:t xml:space="preserve">11). </w:t>
      </w:r>
    </w:p>
    <w:p w14:paraId="48323B2A" w14:textId="77777777" w:rsidR="005B23EC" w:rsidRPr="00E627AD" w:rsidRDefault="005B23EC" w:rsidP="005B23EC">
      <w:pPr>
        <w:pStyle w:val="Title"/>
        <w:jc w:val="both"/>
        <w:rPr>
          <w:rFonts w:ascii="Sylfaen" w:hAnsi="Sylfaen"/>
          <w:bCs/>
          <w:sz w:val="28"/>
          <w:szCs w:val="28"/>
        </w:rPr>
      </w:pPr>
    </w:p>
    <w:p w14:paraId="4A148CD4" w14:textId="77777777" w:rsidR="005B23EC" w:rsidRPr="00B22F31" w:rsidRDefault="005B23EC" w:rsidP="005B23EC">
      <w:pPr>
        <w:pStyle w:val="Title"/>
        <w:jc w:val="both"/>
        <w:rPr>
          <w:rFonts w:ascii="Sylfaen" w:hAnsi="Sylfaen"/>
          <w:bCs/>
          <w:iCs/>
          <w:sz w:val="28"/>
          <w:szCs w:val="28"/>
        </w:rPr>
      </w:pPr>
      <w:r w:rsidRPr="00E627AD">
        <w:rPr>
          <w:rFonts w:ascii="Sylfaen" w:hAnsi="Sylfaen"/>
          <w:bCs/>
          <w:sz w:val="28"/>
          <w:szCs w:val="28"/>
        </w:rPr>
        <w:t>In this model the most evocative reality, especially in this post-resurrection and pre-Pentecost period (April 23</w:t>
      </w:r>
      <w:r>
        <w:rPr>
          <w:rFonts w:ascii="Sylfaen" w:hAnsi="Sylfaen"/>
          <w:bCs/>
          <w:sz w:val="28"/>
          <w:szCs w:val="28"/>
        </w:rPr>
        <w:t>–</w:t>
      </w:r>
      <w:r w:rsidRPr="00E627AD">
        <w:rPr>
          <w:rFonts w:ascii="Sylfaen" w:hAnsi="Sylfaen"/>
          <w:bCs/>
          <w:sz w:val="28"/>
          <w:szCs w:val="28"/>
        </w:rPr>
        <w:t xml:space="preserve">June 10), is the proclamation of the victorious good news of “Christ is Risen,” although all the Sundays are dedicated to the celebration of the resurrection of Jesus Christ. The interior set up of the church –holy altar, table cloths, curtain etc.–, the vestments of the clergy, deacons and acolytes, the music of the hymns, </w:t>
      </w:r>
      <w:r w:rsidRPr="00E627AD">
        <w:rPr>
          <w:rFonts w:ascii="Sylfaen" w:hAnsi="Sylfaen"/>
          <w:bCs/>
          <w:sz w:val="28"/>
          <w:szCs w:val="28"/>
        </w:rPr>
        <w:lastRenderedPageBreak/>
        <w:t xml:space="preserve">the readings and prayers, and the psychological and spiritual eagerness of the faithful indicate a festive atmosphere of </w:t>
      </w:r>
      <w:r w:rsidRPr="00B22F31">
        <w:rPr>
          <w:rFonts w:ascii="Sylfaen" w:hAnsi="Sylfaen"/>
          <w:bCs/>
          <w:iCs/>
          <w:sz w:val="28"/>
          <w:szCs w:val="28"/>
        </w:rPr>
        <w:t>“the defeat of death by the death of our Savior.”</w:t>
      </w:r>
    </w:p>
    <w:p w14:paraId="116B814D" w14:textId="77777777" w:rsidR="005B23EC" w:rsidRPr="00E627AD" w:rsidRDefault="005B23EC" w:rsidP="005B23EC">
      <w:pPr>
        <w:pStyle w:val="Title"/>
        <w:jc w:val="both"/>
        <w:rPr>
          <w:rFonts w:ascii="Sylfaen" w:hAnsi="Sylfaen"/>
          <w:bCs/>
          <w:sz w:val="28"/>
          <w:szCs w:val="28"/>
        </w:rPr>
      </w:pPr>
    </w:p>
    <w:p w14:paraId="644C2A1B" w14:textId="77777777" w:rsidR="005B23EC" w:rsidRPr="00E627AD" w:rsidRDefault="005B23EC" w:rsidP="005B23EC">
      <w:pPr>
        <w:pStyle w:val="Title"/>
        <w:jc w:val="both"/>
        <w:rPr>
          <w:rFonts w:ascii="Sylfaen" w:hAnsi="Sylfaen"/>
          <w:bCs/>
          <w:sz w:val="28"/>
          <w:szCs w:val="28"/>
        </w:rPr>
      </w:pPr>
      <w:r w:rsidRPr="00E627AD">
        <w:rPr>
          <w:rFonts w:ascii="Sylfaen" w:hAnsi="Sylfaen"/>
          <w:bCs/>
          <w:sz w:val="28"/>
          <w:szCs w:val="28"/>
        </w:rPr>
        <w:t xml:space="preserve">The Armenian religious ethos and national identity are intertwined in this model. “The perfect society,” to which Empereur is referring is achieved very positively and sustained by the entire history of the Armenians through this model. We owe our spiritual, ethnic, cultural, and social longings and accomplishments to this inseparably solidified unity of the church and nation, thus setting up a prime paradigm of inculturation. </w:t>
      </w:r>
    </w:p>
    <w:p w14:paraId="58F8446B" w14:textId="77777777" w:rsidR="005B23EC" w:rsidRPr="00E627AD" w:rsidRDefault="005B23EC" w:rsidP="005B23EC">
      <w:pPr>
        <w:pStyle w:val="Title"/>
        <w:jc w:val="both"/>
        <w:rPr>
          <w:rFonts w:ascii="Sylfaen" w:hAnsi="Sylfaen"/>
          <w:bCs/>
          <w:sz w:val="28"/>
          <w:szCs w:val="28"/>
        </w:rPr>
      </w:pPr>
    </w:p>
    <w:p w14:paraId="4765AB51" w14:textId="77777777" w:rsidR="005B23EC" w:rsidRPr="00E627AD" w:rsidRDefault="005B23EC" w:rsidP="005B23EC">
      <w:pPr>
        <w:pStyle w:val="Title"/>
        <w:jc w:val="both"/>
        <w:rPr>
          <w:rFonts w:ascii="Sylfaen" w:hAnsi="Sylfaen"/>
          <w:bCs/>
          <w:sz w:val="28"/>
          <w:szCs w:val="28"/>
        </w:rPr>
      </w:pPr>
      <w:r w:rsidRPr="00E627AD">
        <w:rPr>
          <w:rFonts w:ascii="Sylfaen" w:hAnsi="Sylfaen"/>
          <w:bCs/>
          <w:sz w:val="28"/>
          <w:szCs w:val="28"/>
        </w:rPr>
        <w:t>The major deficiency of this model is the inactive attendance of the faithful in</w:t>
      </w:r>
      <w:r>
        <w:rPr>
          <w:rFonts w:ascii="Sylfaen" w:hAnsi="Sylfaen"/>
          <w:bCs/>
          <w:sz w:val="28"/>
          <w:szCs w:val="28"/>
        </w:rPr>
        <w:t xml:space="preserve"> </w:t>
      </w:r>
      <w:r w:rsidRPr="00E627AD">
        <w:rPr>
          <w:rFonts w:ascii="Sylfaen" w:hAnsi="Sylfaen"/>
          <w:bCs/>
          <w:sz w:val="28"/>
          <w:szCs w:val="28"/>
        </w:rPr>
        <w:t>the</w:t>
      </w:r>
      <w:r>
        <w:rPr>
          <w:rFonts w:ascii="Sylfaen" w:hAnsi="Sylfaen"/>
          <w:bCs/>
          <w:sz w:val="28"/>
          <w:szCs w:val="28"/>
        </w:rPr>
        <w:t xml:space="preserve"> w</w:t>
      </w:r>
      <w:r w:rsidRPr="00E627AD">
        <w:rPr>
          <w:rFonts w:ascii="Sylfaen" w:hAnsi="Sylfaen"/>
          <w:bCs/>
          <w:sz w:val="28"/>
          <w:szCs w:val="28"/>
        </w:rPr>
        <w:t>orship, as was indicated by Empereur (See, pp. 15</w:t>
      </w:r>
      <w:r>
        <w:rPr>
          <w:rFonts w:ascii="Sylfaen" w:hAnsi="Sylfaen"/>
          <w:bCs/>
          <w:sz w:val="28"/>
          <w:szCs w:val="28"/>
        </w:rPr>
        <w:t>–</w:t>
      </w:r>
      <w:r w:rsidRPr="00E627AD">
        <w:rPr>
          <w:rFonts w:ascii="Sylfaen" w:hAnsi="Sylfaen"/>
          <w:bCs/>
          <w:sz w:val="28"/>
          <w:szCs w:val="28"/>
        </w:rPr>
        <w:t>16). We should go beyond the</w:t>
      </w:r>
      <w:r>
        <w:rPr>
          <w:rFonts w:ascii="Sylfaen" w:hAnsi="Sylfaen"/>
          <w:bCs/>
          <w:sz w:val="28"/>
          <w:szCs w:val="28"/>
        </w:rPr>
        <w:t xml:space="preserve"> </w:t>
      </w:r>
      <w:r w:rsidRPr="00E627AD">
        <w:rPr>
          <w:rFonts w:ascii="Sylfaen" w:hAnsi="Sylfaen"/>
          <w:bCs/>
          <w:sz w:val="28"/>
          <w:szCs w:val="28"/>
        </w:rPr>
        <w:t>features inherent in this model and know what the hierarchy of the Armenian</w:t>
      </w:r>
      <w:r>
        <w:rPr>
          <w:rFonts w:ascii="Sylfaen" w:hAnsi="Sylfaen"/>
          <w:bCs/>
          <w:sz w:val="28"/>
          <w:szCs w:val="28"/>
        </w:rPr>
        <w:t xml:space="preserve"> </w:t>
      </w:r>
      <w:r w:rsidRPr="00E627AD">
        <w:rPr>
          <w:rFonts w:ascii="Sylfaen" w:hAnsi="Sylfaen"/>
          <w:bCs/>
          <w:sz w:val="28"/>
          <w:szCs w:val="28"/>
        </w:rPr>
        <w:t>Church is thinking about it. One of the heads of the Armenian Church used to say, “Our</w:t>
      </w:r>
      <w:r>
        <w:rPr>
          <w:rFonts w:ascii="Sylfaen" w:hAnsi="Sylfaen"/>
          <w:bCs/>
          <w:sz w:val="28"/>
          <w:szCs w:val="28"/>
        </w:rPr>
        <w:t xml:space="preserve"> </w:t>
      </w:r>
      <w:r w:rsidRPr="00E627AD">
        <w:rPr>
          <w:rFonts w:ascii="Sylfaen" w:hAnsi="Sylfaen"/>
          <w:bCs/>
          <w:sz w:val="28"/>
          <w:szCs w:val="28"/>
        </w:rPr>
        <w:t>holy liturgy is too long. The classical Armenian used in the church is hardly understood</w:t>
      </w:r>
      <w:r>
        <w:rPr>
          <w:rFonts w:ascii="Sylfaen" w:hAnsi="Sylfaen"/>
          <w:bCs/>
          <w:sz w:val="28"/>
          <w:szCs w:val="28"/>
        </w:rPr>
        <w:t xml:space="preserve"> </w:t>
      </w:r>
      <w:r w:rsidRPr="00E627AD">
        <w:rPr>
          <w:rFonts w:ascii="Sylfaen" w:hAnsi="Sylfaen"/>
          <w:bCs/>
          <w:sz w:val="28"/>
          <w:szCs w:val="28"/>
        </w:rPr>
        <w:t>by the believers. People come to church for more than religious reasons. We should add on all of these the contemporary trend of staying away from the institutionalized religion and other social structures. Then, we have to encourage the faithful to come to church on Sundays even if they like to light a candle, say a short prayer and leave.” This might be the easiest and the most practical way out of the current situation. But I prefer to challenge us, the Armenian Church</w:t>
      </w:r>
      <w:r>
        <w:rPr>
          <w:rFonts w:ascii="Sylfaen" w:hAnsi="Sylfaen"/>
          <w:bCs/>
          <w:sz w:val="28"/>
          <w:szCs w:val="28"/>
        </w:rPr>
        <w:t xml:space="preserve"> –</w:t>
      </w:r>
      <w:r w:rsidRPr="00E627AD">
        <w:rPr>
          <w:rFonts w:ascii="Sylfaen" w:hAnsi="Sylfaen"/>
          <w:bCs/>
          <w:sz w:val="28"/>
          <w:szCs w:val="28"/>
        </w:rPr>
        <w:t>in the authentic meaning of this word, the assembly of the faithful, all Armenians, clergy and laity</w:t>
      </w:r>
      <w:r>
        <w:rPr>
          <w:rFonts w:ascii="Sylfaen" w:hAnsi="Sylfaen"/>
          <w:bCs/>
          <w:sz w:val="28"/>
          <w:szCs w:val="28"/>
        </w:rPr>
        <w:t xml:space="preserve">– </w:t>
      </w:r>
      <w:r w:rsidRPr="00E627AD">
        <w:rPr>
          <w:rFonts w:ascii="Sylfaen" w:hAnsi="Sylfaen"/>
          <w:bCs/>
          <w:sz w:val="28"/>
          <w:szCs w:val="28"/>
        </w:rPr>
        <w:t>to look into the process model suggested by Empereur (see, pp.</w:t>
      </w:r>
      <w:r>
        <w:rPr>
          <w:rFonts w:ascii="Sylfaen" w:hAnsi="Sylfaen"/>
          <w:bCs/>
          <w:sz w:val="28"/>
          <w:szCs w:val="28"/>
        </w:rPr>
        <w:t xml:space="preserve"> </w:t>
      </w:r>
      <w:r w:rsidRPr="00E627AD">
        <w:rPr>
          <w:rFonts w:ascii="Sylfaen" w:hAnsi="Sylfaen"/>
          <w:bCs/>
          <w:sz w:val="28"/>
          <w:szCs w:val="28"/>
        </w:rPr>
        <w:t>30</w:t>
      </w:r>
      <w:r>
        <w:rPr>
          <w:rFonts w:ascii="Sylfaen" w:hAnsi="Sylfaen"/>
          <w:bCs/>
          <w:sz w:val="28"/>
          <w:szCs w:val="28"/>
        </w:rPr>
        <w:t>–</w:t>
      </w:r>
      <w:r w:rsidRPr="00E627AD">
        <w:rPr>
          <w:rFonts w:ascii="Sylfaen" w:hAnsi="Sylfaen"/>
          <w:bCs/>
          <w:sz w:val="28"/>
          <w:szCs w:val="28"/>
        </w:rPr>
        <w:t xml:space="preserve">35) as another and a bridging model for the reformation of the liturgical model of the Armenian Church. I believe that in this process model Armenians will appreciate the linkage of the past, present and future, will be united with each other in their widespread Diaspora situation, will become more sensitive to ecological and social justice issues, will grasp the fascination of salvation as a universal gift of the Savior, and will be stretched out to the eternal perfection. The major question for this challenge to be met remains how to do this? </w:t>
      </w:r>
    </w:p>
    <w:p w14:paraId="226A123A" w14:textId="77777777" w:rsidR="005B23EC" w:rsidRPr="00E627AD" w:rsidRDefault="005B23EC" w:rsidP="005B23EC">
      <w:pPr>
        <w:pStyle w:val="Title"/>
        <w:tabs>
          <w:tab w:val="left" w:pos="7200"/>
        </w:tabs>
        <w:jc w:val="both"/>
        <w:rPr>
          <w:rFonts w:ascii="Sylfaen" w:hAnsi="Sylfaen"/>
          <w:bCs/>
          <w:sz w:val="28"/>
          <w:szCs w:val="28"/>
        </w:rPr>
      </w:pPr>
      <w:r w:rsidRPr="00E627AD">
        <w:rPr>
          <w:rFonts w:ascii="Sylfaen" w:hAnsi="Sylfaen"/>
          <w:bCs/>
          <w:sz w:val="28"/>
          <w:szCs w:val="28"/>
        </w:rPr>
        <w:t xml:space="preserve">This is a valuable enterprise of exploration and a good topic of dissertation, where a combination of two models may emerge. </w:t>
      </w:r>
    </w:p>
    <w:p w14:paraId="5A49FFB4" w14:textId="77777777" w:rsidR="005B23EC" w:rsidRPr="00E627AD" w:rsidRDefault="005B23EC" w:rsidP="005B23EC">
      <w:pPr>
        <w:pStyle w:val="Title"/>
        <w:tabs>
          <w:tab w:val="left" w:pos="7200"/>
        </w:tabs>
        <w:jc w:val="both"/>
        <w:rPr>
          <w:rFonts w:ascii="Sylfaen" w:hAnsi="Sylfaen"/>
          <w:bCs/>
          <w:sz w:val="28"/>
          <w:szCs w:val="28"/>
        </w:rPr>
      </w:pPr>
    </w:p>
    <w:p w14:paraId="63E384EA" w14:textId="77777777" w:rsidR="005B23EC" w:rsidRPr="00F00F98" w:rsidRDefault="005B23EC" w:rsidP="005C3F56">
      <w:pPr>
        <w:pStyle w:val="Title"/>
        <w:tabs>
          <w:tab w:val="left" w:pos="7200"/>
        </w:tabs>
        <w:spacing w:after="0"/>
        <w:jc w:val="both"/>
        <w:rPr>
          <w:rFonts w:ascii="Sylfaen" w:hAnsi="Sylfaen"/>
          <w:bCs/>
          <w:iCs/>
          <w:sz w:val="28"/>
          <w:szCs w:val="28"/>
        </w:rPr>
      </w:pPr>
      <w:r w:rsidRPr="00E627AD">
        <w:rPr>
          <w:rFonts w:ascii="Sylfaen" w:hAnsi="Sylfaen"/>
          <w:bCs/>
          <w:sz w:val="28"/>
          <w:szCs w:val="28"/>
        </w:rPr>
        <w:t>This reminds me of an illustration with which I would like to conclude. A cathedral built by the Portuguese on the Chinese coast was in total ruin except of one wall on which a big cross was carved. This cross served as an indication of a safe haven for the marines. The author of this illustration writes</w:t>
      </w:r>
      <w:r>
        <w:rPr>
          <w:rFonts w:ascii="Sylfaen" w:hAnsi="Sylfaen"/>
          <w:bCs/>
          <w:sz w:val="28"/>
          <w:szCs w:val="28"/>
        </w:rPr>
        <w:t>:</w:t>
      </w:r>
      <w:r w:rsidRPr="00E627AD">
        <w:rPr>
          <w:rFonts w:ascii="Sylfaen" w:hAnsi="Sylfaen"/>
          <w:bCs/>
          <w:sz w:val="28"/>
          <w:szCs w:val="28"/>
        </w:rPr>
        <w:t xml:space="preserve"> </w:t>
      </w:r>
      <w:r w:rsidRPr="00F00F98">
        <w:rPr>
          <w:rFonts w:ascii="Sylfaen" w:hAnsi="Sylfaen"/>
          <w:bCs/>
          <w:iCs/>
          <w:sz w:val="28"/>
          <w:szCs w:val="28"/>
        </w:rPr>
        <w:t xml:space="preserve">“This devastated cathedral mirrors the actual image </w:t>
      </w:r>
      <w:r w:rsidRPr="00F00F98">
        <w:rPr>
          <w:rFonts w:ascii="Sylfaen" w:hAnsi="Sylfaen"/>
          <w:bCs/>
          <w:iCs/>
          <w:sz w:val="28"/>
          <w:szCs w:val="28"/>
        </w:rPr>
        <w:lastRenderedPageBreak/>
        <w:t>of Christianity! The edifice symbolizes the organized system, the hierarchy, constructed by humans. A gigantic and powerful structure that is only a façade. This building was wrecked by exterior enemies and interior quarrels. But it rests as a unique testimony in the history of humanity</w:t>
      </w:r>
      <w:r>
        <w:rPr>
          <w:rFonts w:ascii="Sylfaen" w:hAnsi="Sylfaen"/>
          <w:bCs/>
          <w:iCs/>
          <w:sz w:val="28"/>
          <w:szCs w:val="28"/>
        </w:rPr>
        <w:t>:</w:t>
      </w:r>
      <w:r w:rsidRPr="00F00F98">
        <w:rPr>
          <w:rFonts w:ascii="Sylfaen" w:hAnsi="Sylfaen"/>
          <w:bCs/>
          <w:iCs/>
          <w:sz w:val="28"/>
          <w:szCs w:val="28"/>
        </w:rPr>
        <w:t xml:space="preserve"> a cross on which the Savior of the universe was killed; a visible cross which can lead all to salvation. It is sufficient to turn with faith to the Savior who carried our sins on the cross and with their expiation granted us dwelling places</w:t>
      </w:r>
      <w:r>
        <w:rPr>
          <w:rFonts w:ascii="Sylfaen" w:hAnsi="Sylfaen"/>
          <w:bCs/>
          <w:iCs/>
          <w:sz w:val="28"/>
          <w:szCs w:val="28"/>
        </w:rPr>
        <w:t xml:space="preserve"> </w:t>
      </w:r>
      <w:r>
        <w:rPr>
          <w:rFonts w:ascii="Sylfaen" w:hAnsi="Sylfaen"/>
          <w:bCs/>
          <w:sz w:val="28"/>
          <w:szCs w:val="28"/>
        </w:rPr>
        <w:t>–</w:t>
      </w:r>
      <w:r w:rsidRPr="00F00F98">
        <w:rPr>
          <w:rFonts w:ascii="Sylfaen" w:hAnsi="Sylfaen"/>
          <w:bCs/>
          <w:iCs/>
          <w:sz w:val="28"/>
          <w:szCs w:val="28"/>
        </w:rPr>
        <w:t>more than cathedrals</w:t>
      </w:r>
      <w:r>
        <w:rPr>
          <w:rFonts w:ascii="Sylfaen" w:hAnsi="Sylfaen"/>
          <w:bCs/>
          <w:sz w:val="28"/>
          <w:szCs w:val="28"/>
        </w:rPr>
        <w:t>–</w:t>
      </w:r>
      <w:r>
        <w:rPr>
          <w:rFonts w:ascii="Sylfaen" w:hAnsi="Sylfaen"/>
          <w:bCs/>
          <w:iCs/>
          <w:sz w:val="28"/>
          <w:szCs w:val="28"/>
        </w:rPr>
        <w:t xml:space="preserve"> </w:t>
      </w:r>
      <w:r w:rsidRPr="00F00F98">
        <w:rPr>
          <w:rFonts w:ascii="Sylfaen" w:hAnsi="Sylfaen"/>
          <w:bCs/>
          <w:iCs/>
          <w:sz w:val="28"/>
          <w:szCs w:val="28"/>
        </w:rPr>
        <w:t xml:space="preserve">in the eternal life.” </w:t>
      </w:r>
    </w:p>
    <w:p w14:paraId="2A6EEDC2" w14:textId="77777777" w:rsidR="005B23EC" w:rsidRPr="00FE7478" w:rsidRDefault="005B23EC" w:rsidP="005C3F56">
      <w:pPr>
        <w:jc w:val="both"/>
        <w:rPr>
          <w:rFonts w:ascii="Sylfaen" w:hAnsi="Sylfaen"/>
          <w:bCs/>
          <w:sz w:val="28"/>
          <w:szCs w:val="28"/>
        </w:rPr>
      </w:pPr>
    </w:p>
    <w:p w14:paraId="13FF9A76" w14:textId="77777777" w:rsidR="005B23EC" w:rsidRDefault="005B23EC" w:rsidP="005C3F56">
      <w:pPr>
        <w:rPr>
          <w:rFonts w:ascii="Sylfaen" w:hAnsi="Sylfaen"/>
          <w:sz w:val="28"/>
          <w:szCs w:val="28"/>
        </w:rPr>
      </w:pPr>
      <w:r w:rsidRPr="00FE7478">
        <w:rPr>
          <w:rFonts w:ascii="Sylfaen" w:hAnsi="Sylfaen"/>
          <w:sz w:val="28"/>
          <w:szCs w:val="28"/>
        </w:rPr>
        <w:t>Nareg Alemezian</w:t>
      </w:r>
      <w:r w:rsidRPr="00FE7478">
        <w:rPr>
          <w:rFonts w:ascii="Sylfaen" w:hAnsi="Sylfaen"/>
          <w:sz w:val="28"/>
          <w:szCs w:val="28"/>
        </w:rPr>
        <w:t xml:space="preserve"> </w:t>
      </w:r>
    </w:p>
    <w:p w14:paraId="7CA402C4" w14:textId="6FDD3322" w:rsidR="005B23EC" w:rsidRPr="00FE7478" w:rsidRDefault="005B23EC" w:rsidP="005C3F56">
      <w:pPr>
        <w:rPr>
          <w:rFonts w:ascii="Sylfaen" w:hAnsi="Sylfaen"/>
          <w:sz w:val="28"/>
          <w:szCs w:val="28"/>
        </w:rPr>
      </w:pPr>
      <w:r w:rsidRPr="00FE7478">
        <w:rPr>
          <w:rFonts w:ascii="Sylfaen" w:hAnsi="Sylfaen"/>
          <w:sz w:val="28"/>
          <w:szCs w:val="28"/>
        </w:rPr>
        <w:t xml:space="preserve">2000 </w:t>
      </w:r>
    </w:p>
    <w:p w14:paraId="4C115638"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29357B" w14:textId="77777777" w:rsidR="0072255E" w:rsidRDefault="0072255E" w:rsidP="005B23EC">
      <w:r>
        <w:separator/>
      </w:r>
    </w:p>
  </w:endnote>
  <w:endnote w:type="continuationSeparator" w:id="0">
    <w:p w14:paraId="162313F6" w14:textId="77777777" w:rsidR="0072255E" w:rsidRDefault="0072255E" w:rsidP="005B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0591170"/>
      <w:docPartObj>
        <w:docPartGallery w:val="Page Numbers (Bottom of Page)"/>
        <w:docPartUnique/>
      </w:docPartObj>
    </w:sdtPr>
    <w:sdtContent>
      <w:p w14:paraId="502BE62E" w14:textId="57963A07" w:rsidR="005B23EC" w:rsidRDefault="005B23E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A5C965" w14:textId="77777777" w:rsidR="005B23EC" w:rsidRDefault="005B23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3878464"/>
      <w:docPartObj>
        <w:docPartGallery w:val="Page Numbers (Bottom of Page)"/>
        <w:docPartUnique/>
      </w:docPartObj>
    </w:sdtPr>
    <w:sdtContent>
      <w:p w14:paraId="4DC9B550" w14:textId="2597A5FD" w:rsidR="005B23EC" w:rsidRDefault="005B23E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6906D9B" w14:textId="77777777" w:rsidR="005B23EC" w:rsidRDefault="005B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B9CAA" w14:textId="77777777" w:rsidR="0072255E" w:rsidRDefault="0072255E" w:rsidP="005B23EC">
      <w:r>
        <w:separator/>
      </w:r>
    </w:p>
  </w:footnote>
  <w:footnote w:type="continuationSeparator" w:id="0">
    <w:p w14:paraId="53F82B5D" w14:textId="77777777" w:rsidR="0072255E" w:rsidRDefault="0072255E" w:rsidP="005B2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170804"/>
    <w:multiLevelType w:val="hybridMultilevel"/>
    <w:tmpl w:val="E0107956"/>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167071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EC"/>
    <w:rsid w:val="00157BF2"/>
    <w:rsid w:val="002D5E9C"/>
    <w:rsid w:val="003D7CBC"/>
    <w:rsid w:val="005824C9"/>
    <w:rsid w:val="005B23EC"/>
    <w:rsid w:val="005C3F56"/>
    <w:rsid w:val="0072255E"/>
    <w:rsid w:val="007D7895"/>
    <w:rsid w:val="00B03FA1"/>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3B51"/>
  <w15:chartTrackingRefBased/>
  <w15:docId w15:val="{C297C23C-EFC8-064D-AE77-B956A5C62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3E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B23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23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23E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23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23E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B23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23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23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23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3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23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23E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23E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B23E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B23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23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23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23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23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3E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B23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23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23EC"/>
    <w:rPr>
      <w:i/>
      <w:iCs/>
      <w:color w:val="404040" w:themeColor="text1" w:themeTint="BF"/>
    </w:rPr>
  </w:style>
  <w:style w:type="paragraph" w:styleId="ListParagraph">
    <w:name w:val="List Paragraph"/>
    <w:basedOn w:val="Normal"/>
    <w:uiPriority w:val="34"/>
    <w:qFormat/>
    <w:rsid w:val="005B23EC"/>
    <w:pPr>
      <w:ind w:left="720"/>
      <w:contextualSpacing/>
    </w:pPr>
  </w:style>
  <w:style w:type="character" w:styleId="IntenseEmphasis">
    <w:name w:val="Intense Emphasis"/>
    <w:basedOn w:val="DefaultParagraphFont"/>
    <w:uiPriority w:val="21"/>
    <w:qFormat/>
    <w:rsid w:val="005B23EC"/>
    <w:rPr>
      <w:i/>
      <w:iCs/>
      <w:color w:val="2F5496" w:themeColor="accent1" w:themeShade="BF"/>
    </w:rPr>
  </w:style>
  <w:style w:type="paragraph" w:styleId="IntenseQuote">
    <w:name w:val="Intense Quote"/>
    <w:basedOn w:val="Normal"/>
    <w:next w:val="Normal"/>
    <w:link w:val="IntenseQuoteChar"/>
    <w:uiPriority w:val="30"/>
    <w:qFormat/>
    <w:rsid w:val="005B23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23EC"/>
    <w:rPr>
      <w:i/>
      <w:iCs/>
      <w:color w:val="2F5496" w:themeColor="accent1" w:themeShade="BF"/>
    </w:rPr>
  </w:style>
  <w:style w:type="character" w:styleId="IntenseReference">
    <w:name w:val="Intense Reference"/>
    <w:basedOn w:val="DefaultParagraphFont"/>
    <w:uiPriority w:val="32"/>
    <w:qFormat/>
    <w:rsid w:val="005B23EC"/>
    <w:rPr>
      <w:b/>
      <w:bCs/>
      <w:smallCaps/>
      <w:color w:val="2F5496" w:themeColor="accent1" w:themeShade="BF"/>
      <w:spacing w:val="5"/>
    </w:rPr>
  </w:style>
  <w:style w:type="paragraph" w:styleId="Footer">
    <w:name w:val="footer"/>
    <w:basedOn w:val="Normal"/>
    <w:link w:val="FooterChar"/>
    <w:uiPriority w:val="99"/>
    <w:unhideWhenUsed/>
    <w:rsid w:val="005B23EC"/>
    <w:pPr>
      <w:tabs>
        <w:tab w:val="center" w:pos="4680"/>
        <w:tab w:val="right" w:pos="9360"/>
      </w:tabs>
    </w:pPr>
  </w:style>
  <w:style w:type="character" w:customStyle="1" w:styleId="FooterChar">
    <w:name w:val="Footer Char"/>
    <w:basedOn w:val="DefaultParagraphFont"/>
    <w:link w:val="Footer"/>
    <w:uiPriority w:val="99"/>
    <w:rsid w:val="005B23E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B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2026-07-10T23:08:00Z</dcterms:created>
  <dcterms:modified xsi:type="dcterms:W3CDTF">2026-07-10T23:11:00Z</dcterms:modified>
</cp:coreProperties>
</file>