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3345ED" w14:textId="77777777" w:rsidR="002251CE" w:rsidRPr="006F5AE3" w:rsidRDefault="002251CE" w:rsidP="002251CE">
      <w:pPr>
        <w:pageBreakBefore/>
        <w:jc w:val="center"/>
        <w:rPr>
          <w:rFonts w:ascii="Sylfaen" w:hAnsi="Sylfaen"/>
          <w:sz w:val="32"/>
          <w:szCs w:val="32"/>
        </w:rPr>
      </w:pPr>
      <w:r w:rsidRPr="006F5AE3">
        <w:rPr>
          <w:rFonts w:ascii="Sylfaen" w:hAnsi="Sylfaen"/>
          <w:sz w:val="32"/>
          <w:szCs w:val="32"/>
        </w:rPr>
        <w:t>CONGREGATION AS CULTURE - EXAMINING OUR EXPECTATIONS AND PRE-UNDERSTANDINGS</w:t>
      </w:r>
    </w:p>
    <w:p w14:paraId="020E534B" w14:textId="77777777" w:rsidR="002251CE" w:rsidRPr="006F5AE3" w:rsidRDefault="002251CE" w:rsidP="002251CE">
      <w:pPr>
        <w:rPr>
          <w:rFonts w:ascii="Sylfaen" w:hAnsi="Sylfaen"/>
          <w:sz w:val="28"/>
          <w:szCs w:val="28"/>
        </w:rPr>
      </w:pPr>
    </w:p>
    <w:p w14:paraId="7A9E0E94" w14:textId="77777777" w:rsidR="002251CE" w:rsidRPr="006F5AE3" w:rsidRDefault="002251CE" w:rsidP="002251CE">
      <w:pPr>
        <w:jc w:val="both"/>
        <w:rPr>
          <w:rFonts w:ascii="Sylfaen" w:hAnsi="Sylfaen"/>
          <w:iCs/>
          <w:sz w:val="28"/>
          <w:szCs w:val="28"/>
        </w:rPr>
      </w:pPr>
      <w:r w:rsidRPr="006F5AE3">
        <w:rPr>
          <w:rFonts w:ascii="Sylfaen" w:hAnsi="Sylfaen"/>
          <w:iCs/>
          <w:sz w:val="28"/>
          <w:szCs w:val="28"/>
        </w:rPr>
        <w:t>1. The Differentiation of Culture and Tradition/Values in Armenian Language and Ethos</w:t>
      </w:r>
    </w:p>
    <w:p w14:paraId="1CA235A9" w14:textId="19A84599" w:rsidR="002251CE" w:rsidRPr="006F5AE3" w:rsidRDefault="002251CE" w:rsidP="002251CE">
      <w:pPr>
        <w:jc w:val="both"/>
        <w:rPr>
          <w:rFonts w:ascii="Sylfaen" w:hAnsi="Sylfaen"/>
          <w:sz w:val="28"/>
          <w:szCs w:val="28"/>
        </w:rPr>
      </w:pPr>
      <w:r w:rsidRPr="006F5AE3">
        <w:rPr>
          <w:rFonts w:ascii="Sylfaen" w:hAnsi="Sylfaen"/>
          <w:sz w:val="28"/>
          <w:szCs w:val="28"/>
        </w:rPr>
        <w:t xml:space="preserve">In my native Armenian language, culture defines only the linguistic, literal and artistic aspects of life. The word culture </w:t>
      </w:r>
      <w:r w:rsidRPr="006F5AE3">
        <w:rPr>
          <w:rFonts w:ascii="Sylfaen" w:hAnsi="Sylfaen"/>
          <w:iCs/>
          <w:sz w:val="28"/>
          <w:szCs w:val="28"/>
        </w:rPr>
        <w:t>(</w:t>
      </w:r>
      <w:r w:rsidRPr="006F5AE3">
        <w:rPr>
          <w:rFonts w:ascii="Sylfaen" w:hAnsi="Sylfaen"/>
          <w:i/>
          <w:sz w:val="28"/>
          <w:szCs w:val="28"/>
        </w:rPr>
        <w:t>“meshagouyt”</w:t>
      </w:r>
      <w:r w:rsidRPr="006F5AE3">
        <w:rPr>
          <w:rFonts w:ascii="Sylfaen" w:hAnsi="Sylfaen"/>
          <w:iCs/>
          <w:sz w:val="28"/>
          <w:szCs w:val="28"/>
        </w:rPr>
        <w:t>)</w:t>
      </w:r>
      <w:r w:rsidRPr="006F5AE3">
        <w:rPr>
          <w:rFonts w:ascii="Sylfaen" w:hAnsi="Sylfaen"/>
          <w:i/>
          <w:sz w:val="28"/>
          <w:szCs w:val="28"/>
        </w:rPr>
        <w:t xml:space="preserve"> </w:t>
      </w:r>
      <w:r w:rsidRPr="006F5AE3">
        <w:rPr>
          <w:rFonts w:ascii="Sylfaen" w:hAnsi="Sylfaen"/>
          <w:sz w:val="28"/>
          <w:szCs w:val="28"/>
        </w:rPr>
        <w:t xml:space="preserve">derives from the root </w:t>
      </w:r>
      <w:r w:rsidRPr="006F5AE3">
        <w:rPr>
          <w:rFonts w:ascii="Sylfaen" w:hAnsi="Sylfaen"/>
          <w:i/>
          <w:sz w:val="28"/>
          <w:szCs w:val="28"/>
        </w:rPr>
        <w:t>“cultivation”</w:t>
      </w:r>
      <w:r w:rsidRPr="006F5AE3">
        <w:rPr>
          <w:rFonts w:ascii="Sylfaen" w:hAnsi="Sylfaen"/>
          <w:sz w:val="28"/>
          <w:szCs w:val="28"/>
        </w:rPr>
        <w:t xml:space="preserve"> </w:t>
      </w:r>
      <w:r w:rsidRPr="006F5AE3">
        <w:rPr>
          <w:rFonts w:ascii="Sylfaen" w:hAnsi="Sylfaen"/>
          <w:iCs/>
          <w:sz w:val="28"/>
          <w:szCs w:val="28"/>
        </w:rPr>
        <w:t>(</w:t>
      </w:r>
      <w:r w:rsidRPr="006F5AE3">
        <w:rPr>
          <w:rFonts w:ascii="Sylfaen" w:hAnsi="Sylfaen"/>
          <w:i/>
          <w:sz w:val="28"/>
          <w:szCs w:val="28"/>
        </w:rPr>
        <w:t>“meshagoutyun”</w:t>
      </w:r>
      <w:r w:rsidRPr="006F5AE3">
        <w:rPr>
          <w:rFonts w:ascii="Sylfaen" w:hAnsi="Sylfaen"/>
          <w:iCs/>
          <w:sz w:val="28"/>
          <w:szCs w:val="28"/>
        </w:rPr>
        <w:t>)</w:t>
      </w:r>
      <w:r w:rsidRPr="006F5AE3">
        <w:rPr>
          <w:rFonts w:ascii="Sylfaen" w:hAnsi="Sylfaen"/>
          <w:sz w:val="28"/>
          <w:szCs w:val="28"/>
        </w:rPr>
        <w:t xml:space="preserve"> and is ascribed to both physical and intellectual realms; i.e. one can cultivate the land and/or one’s intellectual abilities. Thus, when Armenians try to understand culture as defined by Martin Marty or other non-Armenian intellectuals, initially –and based solely on the Armenian definition of culture– they limit themselves to language, literature and arts. The Armenian language expresses the other aspects of life by the word tradition</w:t>
      </w:r>
      <w:r w:rsidR="003D13A6">
        <w:rPr>
          <w:rStyle w:val="FootnoteReference"/>
          <w:rFonts w:ascii="Sylfaen" w:hAnsi="Sylfaen"/>
          <w:sz w:val="28"/>
          <w:szCs w:val="28"/>
        </w:rPr>
        <w:footnoteReference w:id="1"/>
      </w:r>
      <w:r w:rsidRPr="006F5AE3">
        <w:rPr>
          <w:rFonts w:ascii="Sylfaen" w:hAnsi="Sylfaen"/>
          <w:sz w:val="28"/>
          <w:szCs w:val="28"/>
        </w:rPr>
        <w:t xml:space="preserve"> </w:t>
      </w:r>
      <w:r w:rsidRPr="006F5AE3">
        <w:rPr>
          <w:rFonts w:ascii="Sylfaen" w:hAnsi="Sylfaen"/>
          <w:iCs/>
          <w:sz w:val="28"/>
          <w:szCs w:val="28"/>
        </w:rPr>
        <w:t>(</w:t>
      </w:r>
      <w:r w:rsidRPr="006F5AE3">
        <w:rPr>
          <w:rFonts w:ascii="Sylfaen" w:hAnsi="Sylfaen"/>
          <w:i/>
          <w:sz w:val="28"/>
          <w:szCs w:val="28"/>
        </w:rPr>
        <w:t>“avantootyun”</w:t>
      </w:r>
      <w:r w:rsidRPr="006F5AE3">
        <w:rPr>
          <w:rFonts w:ascii="Sylfaen" w:hAnsi="Sylfaen"/>
          <w:iCs/>
          <w:sz w:val="28"/>
          <w:szCs w:val="28"/>
        </w:rPr>
        <w:t>)</w:t>
      </w:r>
      <w:r w:rsidRPr="006F5AE3">
        <w:rPr>
          <w:rFonts w:ascii="Sylfaen" w:hAnsi="Sylfaen"/>
          <w:sz w:val="28"/>
          <w:szCs w:val="28"/>
        </w:rPr>
        <w:t xml:space="preserve"> and values </w:t>
      </w:r>
      <w:r w:rsidRPr="006F5AE3">
        <w:rPr>
          <w:rFonts w:ascii="Sylfaen" w:hAnsi="Sylfaen"/>
          <w:i/>
          <w:sz w:val="28"/>
          <w:szCs w:val="28"/>
        </w:rPr>
        <w:t>(“arjekner”</w:t>
      </w:r>
      <w:r w:rsidRPr="006F5AE3">
        <w:rPr>
          <w:rFonts w:ascii="Sylfaen" w:hAnsi="Sylfaen"/>
          <w:iCs/>
          <w:sz w:val="28"/>
          <w:szCs w:val="28"/>
        </w:rPr>
        <w:t>)</w:t>
      </w:r>
      <w:r w:rsidRPr="006F5AE3">
        <w:rPr>
          <w:rFonts w:ascii="Sylfaen" w:hAnsi="Sylfaen"/>
          <w:sz w:val="28"/>
          <w:szCs w:val="28"/>
        </w:rPr>
        <w:t>. This distinction does not place Armenian ethos in two disjoined sections; rather brings them to a dynamic interaction –especially with the intervention of religion, as I will explain little below– expressed in daily activities of the Armenian people in the spheres of culture, tradition and values.</w:t>
      </w:r>
      <w:r w:rsidR="003D13A6">
        <w:rPr>
          <w:rStyle w:val="FootnoteReference"/>
          <w:rFonts w:ascii="Sylfaen" w:hAnsi="Sylfaen"/>
          <w:sz w:val="28"/>
          <w:szCs w:val="28"/>
        </w:rPr>
        <w:footnoteReference w:id="2"/>
      </w:r>
    </w:p>
    <w:p w14:paraId="15F16266" w14:textId="77777777" w:rsidR="002251CE" w:rsidRPr="006F5AE3" w:rsidRDefault="002251CE" w:rsidP="002251CE">
      <w:pPr>
        <w:rPr>
          <w:rFonts w:ascii="Sylfaen" w:hAnsi="Sylfaen"/>
          <w:sz w:val="28"/>
          <w:szCs w:val="28"/>
        </w:rPr>
      </w:pPr>
    </w:p>
    <w:p w14:paraId="685899E6" w14:textId="77777777" w:rsidR="002251CE" w:rsidRPr="006F5AE3" w:rsidRDefault="002251CE" w:rsidP="002251CE">
      <w:pPr>
        <w:jc w:val="both"/>
        <w:rPr>
          <w:rFonts w:ascii="Sylfaen" w:hAnsi="Sylfaen"/>
          <w:sz w:val="28"/>
          <w:szCs w:val="28"/>
        </w:rPr>
      </w:pPr>
      <w:r w:rsidRPr="006F5AE3">
        <w:rPr>
          <w:rFonts w:ascii="Sylfaen" w:hAnsi="Sylfaen"/>
          <w:sz w:val="28"/>
          <w:szCs w:val="28"/>
        </w:rPr>
        <w:t>However, this classical differentiation has been diminished to a certain degree by the encounters of the Armenian philosophers and literary critics with their non-</w:t>
      </w:r>
      <w:r w:rsidRPr="006F5AE3">
        <w:rPr>
          <w:rFonts w:ascii="Sylfaen" w:hAnsi="Sylfaen"/>
          <w:sz w:val="28"/>
          <w:szCs w:val="28"/>
        </w:rPr>
        <w:lastRenderedPageBreak/>
        <w:t>Armenian counterparts and led them to define culture in a wider perspective as we will see in point 2, section {a} and {f}.</w:t>
      </w:r>
    </w:p>
    <w:p w14:paraId="2A150B43" w14:textId="77777777" w:rsidR="002251CE" w:rsidRPr="006F5AE3" w:rsidRDefault="002251CE" w:rsidP="002251CE">
      <w:pPr>
        <w:rPr>
          <w:rFonts w:ascii="Sylfaen" w:hAnsi="Sylfaen"/>
          <w:iCs/>
          <w:sz w:val="28"/>
          <w:szCs w:val="28"/>
        </w:rPr>
      </w:pPr>
    </w:p>
    <w:p w14:paraId="045DC2BD" w14:textId="77777777" w:rsidR="002251CE" w:rsidRPr="006F5AE3" w:rsidRDefault="002251CE" w:rsidP="002251CE">
      <w:pPr>
        <w:rPr>
          <w:rFonts w:ascii="Sylfaen" w:hAnsi="Sylfaen"/>
          <w:iCs/>
          <w:sz w:val="28"/>
          <w:szCs w:val="28"/>
        </w:rPr>
      </w:pPr>
      <w:r w:rsidRPr="006F5AE3">
        <w:rPr>
          <w:rFonts w:ascii="Sylfaen" w:hAnsi="Sylfaen"/>
          <w:iCs/>
          <w:sz w:val="28"/>
          <w:szCs w:val="28"/>
        </w:rPr>
        <w:t>2. Definitions of Culture</w:t>
      </w:r>
    </w:p>
    <w:p w14:paraId="1C048562" w14:textId="77777777" w:rsidR="002251CE" w:rsidRPr="006F5AE3" w:rsidRDefault="002251CE" w:rsidP="002251CE">
      <w:pPr>
        <w:jc w:val="both"/>
        <w:rPr>
          <w:rFonts w:ascii="Sylfaen" w:hAnsi="Sylfaen"/>
          <w:sz w:val="28"/>
          <w:szCs w:val="28"/>
        </w:rPr>
      </w:pPr>
      <w:r w:rsidRPr="006F5AE3">
        <w:rPr>
          <w:rFonts w:ascii="Sylfaen" w:hAnsi="Sylfaen"/>
          <w:sz w:val="28"/>
          <w:szCs w:val="28"/>
        </w:rPr>
        <w:t>Nobody can claim that can come up with a unified and crystal-clear definition of culture, because the very definition of culture is a cultural statement and it varies in different languages and geographical and ideological contexts.</w:t>
      </w:r>
    </w:p>
    <w:p w14:paraId="747DC755" w14:textId="77777777" w:rsidR="002251CE" w:rsidRPr="006F5AE3" w:rsidRDefault="002251CE" w:rsidP="002251CE">
      <w:pPr>
        <w:rPr>
          <w:rFonts w:ascii="Sylfaen" w:hAnsi="Sylfaen"/>
          <w:sz w:val="28"/>
          <w:szCs w:val="28"/>
          <w:u w:val="single"/>
        </w:rPr>
      </w:pPr>
    </w:p>
    <w:p w14:paraId="1854F3B4" w14:textId="77777777" w:rsidR="002251CE" w:rsidRPr="006F5AE3" w:rsidRDefault="002251CE" w:rsidP="002251CE">
      <w:pPr>
        <w:jc w:val="both"/>
        <w:rPr>
          <w:rFonts w:ascii="Sylfaen" w:hAnsi="Sylfaen"/>
          <w:sz w:val="28"/>
          <w:szCs w:val="28"/>
        </w:rPr>
      </w:pPr>
      <w:r w:rsidRPr="006F5AE3">
        <w:rPr>
          <w:rFonts w:ascii="Sylfaen" w:hAnsi="Sylfaen"/>
          <w:sz w:val="28"/>
          <w:szCs w:val="28"/>
        </w:rPr>
        <w:t>Beside James L. Axtell’s definition of culture quoted in Martin Marty’s article</w:t>
      </w:r>
      <w:r w:rsidRPr="006F5AE3">
        <w:rPr>
          <w:rFonts w:ascii="Sylfaen" w:hAnsi="Sylfaen"/>
          <w:i/>
          <w:sz w:val="28"/>
          <w:szCs w:val="28"/>
        </w:rPr>
        <w:t xml:space="preserve"> </w:t>
      </w:r>
      <w:r w:rsidRPr="006F5AE3">
        <w:rPr>
          <w:rFonts w:ascii="Sylfaen" w:hAnsi="Sylfaen"/>
          <w:iCs/>
          <w:sz w:val="28"/>
          <w:szCs w:val="28"/>
        </w:rPr>
        <w:t>“Culture is an idealized pattern of meanings, values, and norms differentially shared by the members of a society, which can be inferred from the non-instinctive behavior of the group and from the symbolic products of their actions,</w:t>
      </w:r>
      <w:r w:rsidRPr="006F5AE3">
        <w:rPr>
          <w:rFonts w:ascii="Sylfaen" w:hAnsi="Sylfaen"/>
          <w:i/>
          <w:sz w:val="28"/>
          <w:szCs w:val="28"/>
        </w:rPr>
        <w:t xml:space="preserve"> </w:t>
      </w:r>
      <w:r w:rsidRPr="006F5AE3">
        <w:rPr>
          <w:rFonts w:ascii="Sylfaen" w:hAnsi="Sylfaen"/>
          <w:iCs/>
          <w:sz w:val="28"/>
          <w:szCs w:val="28"/>
        </w:rPr>
        <w:t>including material artifacts, language, and social institutions</w:t>
      </w:r>
      <w:r w:rsidRPr="006F5AE3">
        <w:rPr>
          <w:rFonts w:ascii="Sylfaen" w:hAnsi="Sylfaen"/>
          <w:sz w:val="28"/>
          <w:szCs w:val="28"/>
        </w:rPr>
        <w:t>,” I would like to share with you the following definitions I have found enriching:</w:t>
      </w:r>
    </w:p>
    <w:p w14:paraId="0E16028E" w14:textId="77777777" w:rsidR="002251CE" w:rsidRPr="006F5AE3" w:rsidRDefault="002251CE" w:rsidP="002251CE">
      <w:pPr>
        <w:rPr>
          <w:rFonts w:ascii="Sylfaen" w:hAnsi="Sylfaen"/>
          <w:sz w:val="28"/>
          <w:szCs w:val="28"/>
        </w:rPr>
      </w:pPr>
    </w:p>
    <w:p w14:paraId="7D6CC3F8"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{a} </w:t>
      </w:r>
      <w:r w:rsidRPr="006F5AE3">
        <w:rPr>
          <w:rFonts w:ascii="Sylfaen" w:hAnsi="Sylfaen"/>
          <w:iCs/>
          <w:sz w:val="28"/>
          <w:szCs w:val="28"/>
        </w:rPr>
        <w:t>“Culture is understood to be a people’s material and nonmaterial way of life. It is language, art, architecture, literature, music, religious traditions, political institutions, as well as aesthetic preferences, recreational patterns, cuisine, dietary styles, and so on. It is also a group’s norms, values, and belief systems"</w:t>
      </w:r>
      <w:r w:rsidRPr="006F5AE3">
        <w:rPr>
          <w:rFonts w:ascii="Sylfaen" w:hAnsi="Sylfaen"/>
          <w:sz w:val="28"/>
          <w:szCs w:val="28"/>
        </w:rPr>
        <w:t xml:space="preserve"> (ARMENIAN-AMERICANS: FROM BEING TO FEELING ARMENIAN).</w:t>
      </w:r>
    </w:p>
    <w:p w14:paraId="50A6FEBF" w14:textId="77777777" w:rsidR="002251CE" w:rsidRPr="006F5AE3" w:rsidRDefault="002251CE" w:rsidP="002251CE">
      <w:pPr>
        <w:pStyle w:val="BodyText"/>
        <w:spacing w:after="0"/>
        <w:jc w:val="both"/>
        <w:rPr>
          <w:rFonts w:ascii="Sylfaen" w:hAnsi="Sylfaen"/>
          <w:sz w:val="28"/>
          <w:szCs w:val="28"/>
        </w:rPr>
      </w:pPr>
    </w:p>
    <w:p w14:paraId="43467D22" w14:textId="1846F790" w:rsidR="002251CE" w:rsidRPr="006F5AE3" w:rsidRDefault="002251CE" w:rsidP="005D6B13">
      <w:pPr>
        <w:pStyle w:val="BodyText"/>
        <w:spacing w:after="0"/>
        <w:jc w:val="both"/>
        <w:rPr>
          <w:rFonts w:ascii="Sylfaen" w:hAnsi="Sylfaen"/>
          <w:sz w:val="28"/>
          <w:szCs w:val="28"/>
        </w:rPr>
      </w:pPr>
      <w:r w:rsidRPr="006F5AE3">
        <w:rPr>
          <w:rFonts w:ascii="Sylfaen" w:hAnsi="Sylfaen"/>
          <w:sz w:val="28"/>
          <w:szCs w:val="28"/>
        </w:rPr>
        <w:t>{b}</w:t>
      </w:r>
      <w:r w:rsidRPr="006F5AE3">
        <w:rPr>
          <w:rFonts w:ascii="Sylfaen" w:hAnsi="Sylfaen"/>
          <w:i/>
          <w:sz w:val="28"/>
          <w:szCs w:val="28"/>
        </w:rPr>
        <w:t xml:space="preserve"> </w:t>
      </w:r>
      <w:r w:rsidRPr="006F5AE3">
        <w:rPr>
          <w:rFonts w:ascii="Sylfaen" w:hAnsi="Sylfaen"/>
          <w:iCs/>
          <w:sz w:val="28"/>
          <w:szCs w:val="28"/>
        </w:rPr>
        <w:t>“The battle of the culture refers to the struggle over the principles, sentiments, ideas, and political attitudes that define the permissible and the impermissible, the acceptable and the unacceptable, the preferred and the disdained, in speech, expression, attitude, conduct, and politics. This battle is about music, art, poetry, literature, television programming, and movies; the modes of expression and conversation, official and unofficial, that express who and what we are, what we believe, and how we act. Christopher Dawson, a noted intellectual historian, put it well in his 1947 Gifford Lecture: "A social culture is an organized way of life which is based on a common tradition and conditioned by a common environment. It is clear that a common way of life involves a common view of life, common standards of behavior and common standards of value"”</w:t>
      </w:r>
      <w:r w:rsidRPr="006F5AE3">
        <w:rPr>
          <w:rFonts w:ascii="Sylfaen" w:hAnsi="Sylfaen"/>
          <w:i/>
          <w:sz w:val="28"/>
          <w:szCs w:val="28"/>
        </w:rPr>
        <w:t xml:space="preserve"> </w:t>
      </w:r>
      <w:r w:rsidRPr="006F5AE3">
        <w:rPr>
          <w:rFonts w:ascii="Sylfaen" w:hAnsi="Sylfaen"/>
          <w:sz w:val="28"/>
          <w:szCs w:val="28"/>
        </w:rPr>
        <w:t>(THE DE-VALUING OF AMERICA: THE FIGHT FOR OUR CULTURE AND OUR CHILDREN). This emphasis on commonality suites perfectly my communal framework discussed in this paper.</w:t>
      </w:r>
    </w:p>
    <w:p w14:paraId="023B6516"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lastRenderedPageBreak/>
        <w:t xml:space="preserve">{c} </w:t>
      </w:r>
      <w:r w:rsidRPr="006F5AE3">
        <w:rPr>
          <w:rFonts w:ascii="Sylfaen" w:hAnsi="Sylfaen"/>
          <w:iCs/>
          <w:sz w:val="28"/>
          <w:szCs w:val="28"/>
        </w:rPr>
        <w:t>“The concept of culture includes not only arts and letters but also ways of life, value systems, the rights of people, beliefs and tradition shaping human identity”</w:t>
      </w:r>
      <w:r w:rsidRPr="006F5AE3">
        <w:rPr>
          <w:rFonts w:ascii="Sylfaen" w:hAnsi="Sylfaen"/>
          <w:sz w:val="28"/>
          <w:szCs w:val="28"/>
        </w:rPr>
        <w:t xml:space="preserve"> (RELIGION AND CULTURE IN DIALOGUE: A CHALLENGE FOR THE NEXT MILLENIUM). There is a prime example in the interconnectedness of culture and identity developed in this short passage from Amina Susan Ali’s short story, </w:t>
      </w:r>
      <w:r w:rsidRPr="006F5AE3">
        <w:rPr>
          <w:rFonts w:ascii="Sylfaen" w:hAnsi="Sylfaen"/>
          <w:i/>
          <w:sz w:val="28"/>
          <w:szCs w:val="28"/>
        </w:rPr>
        <w:t>“Teenage Zombie”</w:t>
      </w:r>
      <w:r w:rsidRPr="006F5AE3">
        <w:rPr>
          <w:rFonts w:ascii="Sylfaen" w:hAnsi="Sylfaen"/>
          <w:sz w:val="28"/>
          <w:szCs w:val="28"/>
        </w:rPr>
        <w:t xml:space="preserve">: </w:t>
      </w:r>
      <w:r w:rsidRPr="006F5AE3">
        <w:rPr>
          <w:rFonts w:ascii="Sylfaen" w:hAnsi="Sylfaen"/>
          <w:iCs/>
          <w:sz w:val="28"/>
          <w:szCs w:val="28"/>
        </w:rPr>
        <w:t>“A couple of months later, she was preparing for her SATs. She mentioned that some of the girls in her class told her that they could guess on some of the vocabulary because they knew Spanish. And then Millie, my sister, said, ‘But that doesn’t help me because I’m not Spanish.’ So I said, ‘What are you, then, Millie?’ She said, ‘I’m American.’ So I said, ‘Yeah, sure, you’re Puerto Rican.’ She said there was no such thing. Puerto Rico wasn’t a country, so</w:t>
      </w:r>
      <w:r w:rsidRPr="006F5AE3">
        <w:rPr>
          <w:rFonts w:ascii="Sylfaen" w:hAnsi="Sylfaen"/>
          <w:i/>
          <w:sz w:val="28"/>
          <w:szCs w:val="28"/>
        </w:rPr>
        <w:t xml:space="preserve"> </w:t>
      </w:r>
      <w:r w:rsidRPr="006F5AE3">
        <w:rPr>
          <w:rFonts w:ascii="Sylfaen" w:hAnsi="Sylfaen"/>
          <w:iCs/>
          <w:sz w:val="28"/>
          <w:szCs w:val="28"/>
        </w:rPr>
        <w:t>how could anybody be Puerto Rican? I said I didn’t know anything about all that, all I knew was that there was something called American and I was not it. She said that was the wrong way to think and that God made us all the same. I said, if we’re all the same, why did the Americans have white pews and a red carpet in their church while we had broken-down wood pews and old floors? She said she didn’t know what I was talking about, she didn’t care what her church looked like, and that there was no such thing as a Puerto Rican, she was not one, and she did not speak Spanish”</w:t>
      </w:r>
      <w:r w:rsidRPr="006F5AE3">
        <w:rPr>
          <w:rFonts w:ascii="Sylfaen" w:hAnsi="Sylfaen"/>
          <w:i/>
          <w:sz w:val="28"/>
          <w:szCs w:val="28"/>
        </w:rPr>
        <w:t xml:space="preserve"> </w:t>
      </w:r>
      <w:r w:rsidRPr="006F5AE3">
        <w:rPr>
          <w:rFonts w:ascii="Sylfaen" w:hAnsi="Sylfaen"/>
          <w:sz w:val="28"/>
          <w:szCs w:val="28"/>
        </w:rPr>
        <w:t>(CUENTOS: STORIES BY LATINAS).</w:t>
      </w:r>
    </w:p>
    <w:p w14:paraId="3BA1A767" w14:textId="77777777" w:rsidR="002251CE" w:rsidRPr="006F5AE3" w:rsidRDefault="002251CE" w:rsidP="002251CE">
      <w:pPr>
        <w:pStyle w:val="BodyText"/>
        <w:spacing w:after="0"/>
        <w:rPr>
          <w:rFonts w:ascii="Sylfaen" w:hAnsi="Sylfaen"/>
          <w:sz w:val="28"/>
          <w:szCs w:val="28"/>
        </w:rPr>
      </w:pPr>
    </w:p>
    <w:p w14:paraId="439FECEB"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{d}</w:t>
      </w:r>
      <w:r w:rsidRPr="006F5AE3">
        <w:rPr>
          <w:rFonts w:ascii="Sylfaen" w:hAnsi="Sylfaen"/>
          <w:i/>
          <w:sz w:val="28"/>
          <w:szCs w:val="28"/>
        </w:rPr>
        <w:t xml:space="preserve"> </w:t>
      </w:r>
      <w:r w:rsidRPr="006F5AE3">
        <w:rPr>
          <w:rFonts w:ascii="Sylfaen" w:hAnsi="Sylfaen"/>
          <w:iCs/>
          <w:sz w:val="28"/>
          <w:szCs w:val="28"/>
        </w:rPr>
        <w:t>“There are scores of definitions of culture. We can yet say that the notion of culture, wide as it is and vague as it remains, represents a certain global awareness of the subtotal of values by which a particular human group lives and expresses itself. In short, culture represents the underlying mythos of a people. It is the specific form of being human. It is something belonging to the very nature of man. Hence culture is not just a folklore or an adjunct, not something we can dispense with, an accident of human life which we may change at will. Precisely then one cannot have a change of culture as one changes garments. Culture is more than mere cultural fashions”</w:t>
      </w:r>
      <w:r w:rsidRPr="006F5AE3">
        <w:rPr>
          <w:rFonts w:ascii="Sylfaen" w:hAnsi="Sylfaen"/>
          <w:sz w:val="28"/>
          <w:szCs w:val="28"/>
        </w:rPr>
        <w:t xml:space="preserve"> (FAITH, CULTURE, INDIA TODAY: PERSPECTIVE).</w:t>
      </w:r>
    </w:p>
    <w:p w14:paraId="6950BD53" w14:textId="77777777" w:rsidR="002251CE" w:rsidRPr="006F5AE3" w:rsidRDefault="002251CE" w:rsidP="002251CE">
      <w:pPr>
        <w:pStyle w:val="BodyText"/>
        <w:spacing w:after="0"/>
        <w:rPr>
          <w:rFonts w:ascii="Sylfaen" w:hAnsi="Sylfaen"/>
          <w:sz w:val="28"/>
          <w:szCs w:val="28"/>
        </w:rPr>
      </w:pPr>
    </w:p>
    <w:p w14:paraId="597BFDB4" w14:textId="77777777" w:rsidR="002251CE" w:rsidRPr="006F5AE3" w:rsidRDefault="002251CE" w:rsidP="002251CE">
      <w:pPr>
        <w:pStyle w:val="BodyText"/>
        <w:spacing w:after="0"/>
        <w:jc w:val="both"/>
        <w:rPr>
          <w:rFonts w:ascii="Sylfaen" w:hAnsi="Sylfaen"/>
          <w:iCs/>
          <w:sz w:val="28"/>
          <w:szCs w:val="28"/>
        </w:rPr>
      </w:pPr>
      <w:r w:rsidRPr="006F5AE3">
        <w:rPr>
          <w:rFonts w:ascii="Sylfaen" w:hAnsi="Sylfaen"/>
          <w:sz w:val="28"/>
          <w:szCs w:val="28"/>
        </w:rPr>
        <w:t xml:space="preserve">{e} </w:t>
      </w:r>
      <w:r w:rsidRPr="006F5AE3">
        <w:rPr>
          <w:rFonts w:ascii="Sylfaen" w:hAnsi="Sylfaen"/>
          <w:iCs/>
          <w:sz w:val="28"/>
          <w:szCs w:val="28"/>
        </w:rPr>
        <w:t xml:space="preserve">“Speaking of ‘culture’ evokes many different words, terms and concepts: food, environmental influence, architecture, art, language, relationships, sexuality, humour, sports, education, communication, politics, economics, power structures, conflict management, traditions, values, rituals, religion, worship, </w:t>
      </w:r>
      <w:r w:rsidRPr="006F5AE3">
        <w:rPr>
          <w:rFonts w:ascii="Sylfaen" w:hAnsi="Sylfaen"/>
          <w:iCs/>
          <w:sz w:val="28"/>
          <w:szCs w:val="28"/>
        </w:rPr>
        <w:lastRenderedPageBreak/>
        <w:t>spirituality –– indeed all aspects of human effort. There is no way of being human without participating in culture, for it is through culture that identity is created. Culture is both a result of God’s grace and an expression of human freedom and creativity. Culture is intrinsically neither good nor bad; it has the potential for both –– and is thus ambiguous"</w:t>
      </w:r>
      <w:r w:rsidRPr="006F5AE3">
        <w:rPr>
          <w:rFonts w:ascii="Sylfaen" w:hAnsi="Sylfaen"/>
          <w:sz w:val="28"/>
          <w:szCs w:val="28"/>
        </w:rPr>
        <w:t xml:space="preserve"> (CALLED TO ONE HOPE </w:t>
      </w:r>
      <w:r w:rsidRPr="006F5AE3">
        <w:rPr>
          <w:rFonts w:ascii="Sylfaen" w:hAnsi="Sylfaen"/>
          <w:iCs/>
          <w:sz w:val="28"/>
          <w:szCs w:val="28"/>
        </w:rPr>
        <w:t xml:space="preserve">– </w:t>
      </w:r>
      <w:r w:rsidRPr="006F5AE3">
        <w:rPr>
          <w:rFonts w:ascii="Sylfaen" w:hAnsi="Sylfaen"/>
          <w:sz w:val="28"/>
          <w:szCs w:val="28"/>
        </w:rPr>
        <w:t>THE GOSPEL IN DIVERSE CULTURES, Conference on World Mission and Evangelism, Salvador, Bahia, Brazil, 24</w:t>
      </w:r>
      <w:r w:rsidRPr="006F5AE3">
        <w:rPr>
          <w:rFonts w:ascii="Sylfaen" w:hAnsi="Sylfaen"/>
          <w:iCs/>
          <w:sz w:val="28"/>
          <w:szCs w:val="28"/>
        </w:rPr>
        <w:t>–</w:t>
      </w:r>
      <w:r w:rsidRPr="006F5AE3">
        <w:rPr>
          <w:rFonts w:ascii="Sylfaen" w:hAnsi="Sylfaen"/>
          <w:sz w:val="28"/>
          <w:szCs w:val="28"/>
        </w:rPr>
        <w:t xml:space="preserve">3 December 1996, </w:t>
      </w:r>
      <w:r w:rsidRPr="006F5AE3">
        <w:rPr>
          <w:rFonts w:ascii="Sylfaen" w:hAnsi="Sylfaen"/>
          <w:iCs/>
          <w:sz w:val="28"/>
          <w:szCs w:val="28"/>
        </w:rPr>
        <w:t>“A. Discerning the Spirit at work in all cultures, Theological understanding of cultures,”</w:t>
      </w:r>
      <w:r w:rsidRPr="006F5AE3">
        <w:rPr>
          <w:rFonts w:ascii="Sylfaen" w:hAnsi="Sylfaen"/>
          <w:i/>
          <w:sz w:val="28"/>
          <w:szCs w:val="28"/>
        </w:rPr>
        <w:t xml:space="preserve"> </w:t>
      </w:r>
      <w:r w:rsidRPr="006F5AE3">
        <w:rPr>
          <w:rFonts w:ascii="Sylfaen" w:hAnsi="Sylfaen"/>
          <w:sz w:val="28"/>
          <w:szCs w:val="28"/>
        </w:rPr>
        <w:t>p. 3).</w:t>
      </w:r>
    </w:p>
    <w:p w14:paraId="04C0D975" w14:textId="77777777" w:rsidR="002251CE" w:rsidRPr="006F5AE3" w:rsidRDefault="002251CE" w:rsidP="002251CE">
      <w:pPr>
        <w:pStyle w:val="BodyText"/>
        <w:spacing w:after="0"/>
        <w:rPr>
          <w:rFonts w:ascii="Sylfaen" w:hAnsi="Sylfaen"/>
          <w:sz w:val="28"/>
          <w:szCs w:val="28"/>
        </w:rPr>
      </w:pPr>
    </w:p>
    <w:p w14:paraId="756302AA"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{f} </w:t>
      </w:r>
      <w:r w:rsidRPr="006F5AE3">
        <w:rPr>
          <w:rFonts w:ascii="Sylfaen" w:hAnsi="Sylfaen"/>
          <w:iCs/>
          <w:sz w:val="28"/>
          <w:szCs w:val="28"/>
        </w:rPr>
        <w:t>“Culture is largely spirit, it is moral, it is national ideology and a standard of intellectual maturity. ...Only people who are lifeless and lacking in faith, imbued</w:t>
      </w:r>
      <w:r w:rsidRPr="006F5AE3">
        <w:rPr>
          <w:rFonts w:ascii="Sylfaen" w:hAnsi="Sylfaen"/>
          <w:i/>
          <w:sz w:val="28"/>
          <w:szCs w:val="28"/>
        </w:rPr>
        <w:t xml:space="preserve"> </w:t>
      </w:r>
      <w:r w:rsidRPr="006F5AE3">
        <w:rPr>
          <w:rFonts w:ascii="Sylfaen" w:hAnsi="Sylfaen"/>
          <w:iCs/>
          <w:sz w:val="28"/>
          <w:szCs w:val="28"/>
        </w:rPr>
        <w:t>with longing for a ‘idyllic past,’ are unaware of the values that exist in their midst”</w:t>
      </w:r>
      <w:r w:rsidRPr="006F5AE3">
        <w:rPr>
          <w:rFonts w:ascii="Sylfaen" w:hAnsi="Sylfaen"/>
          <w:i/>
          <w:sz w:val="28"/>
          <w:szCs w:val="28"/>
        </w:rPr>
        <w:t xml:space="preserve"> </w:t>
      </w:r>
      <w:r w:rsidRPr="006F5AE3">
        <w:rPr>
          <w:rFonts w:ascii="Sylfaen" w:hAnsi="Sylfaen"/>
          <w:sz w:val="28"/>
          <w:szCs w:val="28"/>
        </w:rPr>
        <w:t xml:space="preserve">(The Armenian Reporter Int’l, </w:t>
      </w:r>
      <w:r w:rsidRPr="006F5AE3">
        <w:rPr>
          <w:rFonts w:ascii="Sylfaen" w:hAnsi="Sylfaen"/>
          <w:iCs/>
          <w:sz w:val="28"/>
          <w:szCs w:val="28"/>
        </w:rPr>
        <w:t>“Closing Account on the 20</w:t>
      </w:r>
      <w:r w:rsidRPr="006F5AE3">
        <w:rPr>
          <w:rFonts w:ascii="Sylfaen" w:hAnsi="Sylfaen"/>
          <w:iCs/>
          <w:sz w:val="28"/>
          <w:szCs w:val="28"/>
          <w:vertAlign w:val="superscript"/>
        </w:rPr>
        <w:t>th</w:t>
      </w:r>
      <w:r w:rsidRPr="006F5AE3">
        <w:rPr>
          <w:rFonts w:ascii="Sylfaen" w:hAnsi="Sylfaen"/>
          <w:iCs/>
          <w:sz w:val="28"/>
          <w:szCs w:val="28"/>
        </w:rPr>
        <w:t xml:space="preserve"> Century,</w:t>
      </w:r>
      <w:r w:rsidRPr="006F5AE3">
        <w:rPr>
          <w:rFonts w:ascii="Sylfaen" w:hAnsi="Sylfaen"/>
          <w:sz w:val="28"/>
          <w:szCs w:val="28"/>
        </w:rPr>
        <w:t xml:space="preserve">” October 30, 1999). </w:t>
      </w:r>
    </w:p>
    <w:p w14:paraId="726A378E" w14:textId="77777777" w:rsidR="002251CE" w:rsidRPr="006F5AE3" w:rsidRDefault="002251CE" w:rsidP="002251CE">
      <w:pPr>
        <w:pStyle w:val="BodyText"/>
        <w:spacing w:after="0"/>
        <w:rPr>
          <w:rFonts w:ascii="Sylfaen" w:hAnsi="Sylfaen"/>
          <w:iCs/>
          <w:sz w:val="28"/>
          <w:szCs w:val="28"/>
        </w:rPr>
      </w:pPr>
    </w:p>
    <w:p w14:paraId="6FE22FE7" w14:textId="77777777" w:rsidR="002251CE" w:rsidRPr="006F5AE3" w:rsidRDefault="002251CE" w:rsidP="002251CE">
      <w:pPr>
        <w:pStyle w:val="BodyText"/>
        <w:spacing w:after="0"/>
        <w:jc w:val="center"/>
        <w:rPr>
          <w:rFonts w:ascii="Sylfaen" w:hAnsi="Sylfaen"/>
          <w:sz w:val="28"/>
          <w:szCs w:val="28"/>
        </w:rPr>
      </w:pPr>
      <w:r w:rsidRPr="006F5AE3">
        <w:rPr>
          <w:rFonts w:ascii="Sylfaen" w:hAnsi="Sylfaen"/>
          <w:sz w:val="28"/>
          <w:szCs w:val="28"/>
        </w:rPr>
        <w:t>* * *</w:t>
      </w:r>
    </w:p>
    <w:p w14:paraId="5354B1B8" w14:textId="77777777" w:rsidR="002251CE" w:rsidRPr="006F5AE3" w:rsidRDefault="002251CE" w:rsidP="002251CE">
      <w:pPr>
        <w:pStyle w:val="BodyText"/>
        <w:spacing w:after="0"/>
        <w:jc w:val="center"/>
        <w:rPr>
          <w:rFonts w:ascii="Sylfaen" w:hAnsi="Sylfaen"/>
          <w:sz w:val="28"/>
          <w:szCs w:val="28"/>
        </w:rPr>
      </w:pPr>
    </w:p>
    <w:p w14:paraId="7332C2F9"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Now, I elaborate my personal ethno-religious, ecumenical and communal cultural inter-related milieus in a wider spectrum and a deeper analysis, integrating and identifying theological common senses in my reflections. I am fortunate to have this multiplicity due to my education in the West and the opportunity of encountering various cultures through the university environment and personal contacts. Clifford Geertz properly states this beneficial aspect: </w:t>
      </w:r>
      <w:r w:rsidRPr="006F5AE3">
        <w:rPr>
          <w:rFonts w:ascii="Sylfaen" w:hAnsi="Sylfaen"/>
          <w:iCs/>
          <w:sz w:val="28"/>
          <w:szCs w:val="28"/>
        </w:rPr>
        <w:t>“All this comes out rather dramatically when, instead of confining oneself to a single culture looked at generally one views several at once with respect to a single-problem focus.”</w:t>
      </w:r>
      <w:r w:rsidRPr="006F5AE3">
        <w:rPr>
          <w:rFonts w:ascii="Sylfaen" w:hAnsi="Sylfaen"/>
          <w:sz w:val="28"/>
          <w:szCs w:val="28"/>
        </w:rPr>
        <w:t xml:space="preserve"> (Clifford Geertz, LOCAL KNOWLEDGE, </w:t>
      </w:r>
      <w:r w:rsidRPr="006F5AE3">
        <w:rPr>
          <w:rFonts w:ascii="Sylfaen" w:hAnsi="Sylfaen"/>
          <w:iCs/>
          <w:sz w:val="28"/>
          <w:szCs w:val="28"/>
        </w:rPr>
        <w:t xml:space="preserve">“Common Sense as a Cultural System,” </w:t>
      </w:r>
      <w:r w:rsidRPr="006F5AE3">
        <w:rPr>
          <w:rFonts w:ascii="Sylfaen" w:hAnsi="Sylfaen"/>
          <w:sz w:val="28"/>
          <w:szCs w:val="28"/>
        </w:rPr>
        <w:t>p. 80).</w:t>
      </w:r>
    </w:p>
    <w:p w14:paraId="7D6EB035" w14:textId="77777777" w:rsidR="002251CE" w:rsidRPr="006F5AE3" w:rsidRDefault="002251CE" w:rsidP="002251CE">
      <w:pPr>
        <w:rPr>
          <w:rFonts w:ascii="Sylfaen" w:hAnsi="Sylfaen"/>
          <w:sz w:val="28"/>
          <w:szCs w:val="28"/>
        </w:rPr>
      </w:pPr>
    </w:p>
    <w:p w14:paraId="1A6AD4B9" w14:textId="77777777" w:rsidR="002251CE" w:rsidRPr="006F5AE3" w:rsidRDefault="002251CE" w:rsidP="002251CE">
      <w:pPr>
        <w:jc w:val="center"/>
        <w:rPr>
          <w:rFonts w:ascii="Sylfaen" w:hAnsi="Sylfaen"/>
          <w:sz w:val="28"/>
          <w:szCs w:val="28"/>
        </w:rPr>
      </w:pPr>
      <w:r w:rsidRPr="006F5AE3">
        <w:rPr>
          <w:rFonts w:ascii="Sylfaen" w:hAnsi="Sylfaen"/>
          <w:sz w:val="28"/>
          <w:szCs w:val="28"/>
        </w:rPr>
        <w:t>1. The Ethno-Religious Framework</w:t>
      </w:r>
    </w:p>
    <w:p w14:paraId="0F6F6D3D" w14:textId="77777777" w:rsidR="002251CE" w:rsidRPr="006F5AE3" w:rsidRDefault="002251CE" w:rsidP="002251CE">
      <w:pPr>
        <w:rPr>
          <w:rFonts w:ascii="Sylfaen" w:hAnsi="Sylfaen"/>
          <w:iCs/>
          <w:sz w:val="28"/>
          <w:szCs w:val="28"/>
        </w:rPr>
      </w:pPr>
    </w:p>
    <w:p w14:paraId="40BE8132" w14:textId="77777777" w:rsidR="002251CE" w:rsidRPr="006F5AE3" w:rsidRDefault="002251CE" w:rsidP="002251CE">
      <w:pPr>
        <w:rPr>
          <w:rFonts w:ascii="Sylfaen" w:hAnsi="Sylfaen"/>
          <w:iCs/>
          <w:sz w:val="28"/>
          <w:szCs w:val="28"/>
        </w:rPr>
      </w:pPr>
      <w:r w:rsidRPr="006F5AE3">
        <w:rPr>
          <w:rFonts w:ascii="Sylfaen" w:hAnsi="Sylfaen"/>
          <w:iCs/>
          <w:sz w:val="28"/>
          <w:szCs w:val="28"/>
        </w:rPr>
        <w:t>1. The Armenian Church and culture sustain and enrich one another</w:t>
      </w:r>
    </w:p>
    <w:p w14:paraId="676F324E"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The national character of the Armenian Church creates a genuine inter-relationship between the Christian message and national culture of the Armenian people. This is confirmed eloquently in the following statement: </w:t>
      </w:r>
      <w:r w:rsidRPr="006F5AE3">
        <w:rPr>
          <w:rFonts w:ascii="Sylfaen" w:hAnsi="Sylfaen"/>
          <w:iCs/>
          <w:sz w:val="28"/>
          <w:szCs w:val="28"/>
        </w:rPr>
        <w:t xml:space="preserve">“Over the centuries the church had acted as an asylum and rallying center, especially in </w:t>
      </w:r>
      <w:r w:rsidRPr="006F5AE3">
        <w:rPr>
          <w:rFonts w:ascii="Sylfaen" w:hAnsi="Sylfaen"/>
          <w:iCs/>
          <w:sz w:val="28"/>
          <w:szCs w:val="28"/>
        </w:rPr>
        <w:lastRenderedPageBreak/>
        <w:t xml:space="preserve">troubled times; it nurtured and preserved Armenian traditions, customs, language, and literature; and it stood as the only symbol of unity among the Armenians which had endured over the centuries of trials and dispersions. However imperfect, it was the only transcendent focus of Armenians in the homeland and the Diaspora” </w:t>
      </w:r>
      <w:r w:rsidRPr="006F5AE3">
        <w:rPr>
          <w:rFonts w:ascii="Sylfaen" w:hAnsi="Sylfaen"/>
          <w:sz w:val="28"/>
          <w:szCs w:val="28"/>
        </w:rPr>
        <w:t>(TORN BETWEEN TWO LANDS: ARMENIANS IN AMERICA, 1890 TO WORLD WAR I).</w:t>
      </w:r>
    </w:p>
    <w:p w14:paraId="2FE9BDB1" w14:textId="77777777" w:rsidR="002251CE" w:rsidRPr="006F5AE3" w:rsidRDefault="002251CE" w:rsidP="002251CE">
      <w:pPr>
        <w:pStyle w:val="BodyText"/>
        <w:spacing w:after="0"/>
        <w:rPr>
          <w:rFonts w:ascii="Sylfaen" w:hAnsi="Sylfaen"/>
          <w:sz w:val="28"/>
          <w:szCs w:val="28"/>
        </w:rPr>
      </w:pPr>
    </w:p>
    <w:p w14:paraId="351F0399"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The Armenian Church is not only the Armenian witness to Christ, but also the custodian and promoter of the secular culture (e.g. language, literature, arts, customs) and the religious culture (e.g. feasts, festivals and saints days, liturgy, rituals) of the Armenians. Furthermore, Armenian Christianity is the key factor in holding the Armenian communities together. </w:t>
      </w:r>
    </w:p>
    <w:p w14:paraId="01D9C553" w14:textId="77777777" w:rsidR="002251CE" w:rsidRPr="006F5AE3" w:rsidRDefault="002251CE" w:rsidP="002251CE">
      <w:pPr>
        <w:pStyle w:val="BodyText"/>
        <w:spacing w:after="0"/>
        <w:rPr>
          <w:rFonts w:ascii="Sylfaen" w:hAnsi="Sylfaen"/>
          <w:sz w:val="28"/>
          <w:szCs w:val="28"/>
        </w:rPr>
      </w:pPr>
    </w:p>
    <w:p w14:paraId="1A73B23C"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To perpetuate this oneness of the Armenian Church and nation, as an Armenian priest I have to play an instrumental role as a caterer to the spiritual, cultural, national and social needs of my people. The pressing urgency for me is to go beyond being only a bearer and a reflector of ethnicity and commit myself to the evangelism of my people.</w:t>
      </w:r>
    </w:p>
    <w:p w14:paraId="63895A4D" w14:textId="77777777" w:rsidR="002251CE" w:rsidRPr="006F5AE3" w:rsidRDefault="002251CE" w:rsidP="002251CE">
      <w:pPr>
        <w:pStyle w:val="BodyText"/>
        <w:spacing w:after="0"/>
        <w:rPr>
          <w:rFonts w:ascii="Sylfaen" w:hAnsi="Sylfaen"/>
          <w:sz w:val="28"/>
          <w:szCs w:val="28"/>
        </w:rPr>
      </w:pPr>
    </w:p>
    <w:p w14:paraId="275A16CA"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In trying to shape the Armenian culture and identity and to blend in the mainstream of pluralistic society, I am struggling with many burning issues </w:t>
      </w:r>
      <w:r w:rsidRPr="006F5AE3">
        <w:rPr>
          <w:rFonts w:ascii="Sylfaen" w:hAnsi="Sylfaen"/>
          <w:iCs/>
          <w:sz w:val="28"/>
          <w:szCs w:val="28"/>
        </w:rPr>
        <w:t xml:space="preserve">–– </w:t>
      </w:r>
      <w:r w:rsidRPr="006F5AE3">
        <w:rPr>
          <w:rFonts w:ascii="Sylfaen" w:hAnsi="Sylfaen"/>
          <w:sz w:val="28"/>
          <w:szCs w:val="28"/>
        </w:rPr>
        <w:t xml:space="preserve">such as, language, traditions, customs, intermarriage, assimilation, ethnicity, religious aspirations, national longings etc. Also, I am well aware that these are shared common concerns and problems of globalization and fragmentation of our post-modern secularized society affecting all the Churches in their devoted service to God and His creation. </w:t>
      </w:r>
    </w:p>
    <w:p w14:paraId="4628FC8E" w14:textId="77777777" w:rsidR="002251CE" w:rsidRPr="006F5AE3" w:rsidRDefault="002251CE" w:rsidP="002251CE">
      <w:pPr>
        <w:pStyle w:val="BodyText"/>
        <w:spacing w:after="0"/>
        <w:rPr>
          <w:rFonts w:ascii="Sylfaen" w:hAnsi="Sylfaen"/>
          <w:sz w:val="28"/>
          <w:szCs w:val="28"/>
        </w:rPr>
      </w:pPr>
    </w:p>
    <w:p w14:paraId="2D6D9DC4" w14:textId="77777777" w:rsidR="002251CE" w:rsidRPr="006F5AE3" w:rsidRDefault="002251CE" w:rsidP="002251CE">
      <w:pPr>
        <w:pStyle w:val="BodyText"/>
        <w:spacing w:after="0"/>
        <w:jc w:val="both"/>
        <w:rPr>
          <w:rFonts w:ascii="Sylfaen" w:hAnsi="Sylfaen"/>
          <w:iCs/>
          <w:sz w:val="28"/>
          <w:szCs w:val="28"/>
        </w:rPr>
      </w:pPr>
      <w:r w:rsidRPr="006F5AE3">
        <w:rPr>
          <w:rFonts w:ascii="Sylfaen" w:hAnsi="Sylfaen"/>
          <w:iCs/>
          <w:sz w:val="28"/>
          <w:szCs w:val="28"/>
        </w:rPr>
        <w:t xml:space="preserve">2. Over long centuries, the Armenian culture was manifested in and through the Armenian Church </w:t>
      </w:r>
    </w:p>
    <w:p w14:paraId="77D1BD4E" w14:textId="3B5D2571" w:rsidR="002251CE" w:rsidRPr="006F5AE3" w:rsidRDefault="002251CE" w:rsidP="00FC44DA">
      <w:pPr>
        <w:pStyle w:val="BodyText"/>
        <w:spacing w:after="0"/>
        <w:jc w:val="both"/>
        <w:rPr>
          <w:rFonts w:ascii="Sylfaen" w:hAnsi="Sylfaen"/>
          <w:sz w:val="28"/>
          <w:szCs w:val="28"/>
        </w:rPr>
      </w:pPr>
      <w:r w:rsidRPr="006F5AE3">
        <w:rPr>
          <w:rFonts w:ascii="Sylfaen" w:hAnsi="Sylfaen"/>
          <w:sz w:val="28"/>
          <w:szCs w:val="28"/>
        </w:rPr>
        <w:t xml:space="preserve">This statement indicates very clearly the interconnection of the Armenian faith and culture. Especially in the lack of political power, the Armenian Church assumed the responsibility of leading its people in all domains of its daily life and fulfilled all its aspirations. In the religious traditions and feasts we discover how the Christian </w:t>
      </w:r>
      <w:r w:rsidRPr="006F5AE3">
        <w:rPr>
          <w:rFonts w:ascii="Sylfaen" w:hAnsi="Sylfaen"/>
          <w:iCs/>
          <w:sz w:val="28"/>
          <w:szCs w:val="28"/>
        </w:rPr>
        <w:t>–</w:t>
      </w:r>
      <w:r w:rsidRPr="006F5AE3">
        <w:rPr>
          <w:rFonts w:ascii="Sylfaen" w:hAnsi="Sylfaen"/>
          <w:sz w:val="28"/>
          <w:szCs w:val="28"/>
        </w:rPr>
        <w:t>even the Pre-Christian</w:t>
      </w:r>
      <w:r w:rsidRPr="006F5AE3">
        <w:rPr>
          <w:rFonts w:ascii="Sylfaen" w:hAnsi="Sylfaen"/>
          <w:iCs/>
          <w:sz w:val="28"/>
          <w:szCs w:val="28"/>
        </w:rPr>
        <w:t>–</w:t>
      </w:r>
      <w:r w:rsidRPr="006F5AE3">
        <w:rPr>
          <w:rFonts w:ascii="Sylfaen" w:hAnsi="Sylfaen"/>
          <w:sz w:val="28"/>
          <w:szCs w:val="28"/>
        </w:rPr>
        <w:t xml:space="preserve"> faith transforms and enriches Armenian culture and how culture becomes the incarnation of the Christian faith.</w:t>
      </w:r>
    </w:p>
    <w:p w14:paraId="44584C5A" w14:textId="77777777" w:rsidR="002251CE" w:rsidRPr="006F5AE3" w:rsidRDefault="002251CE" w:rsidP="002251CE">
      <w:pPr>
        <w:pStyle w:val="BodyText"/>
        <w:spacing w:after="0"/>
        <w:rPr>
          <w:rFonts w:ascii="Sylfaen" w:hAnsi="Sylfaen"/>
          <w:sz w:val="28"/>
          <w:szCs w:val="28"/>
        </w:rPr>
      </w:pPr>
      <w:r w:rsidRPr="006F5AE3">
        <w:rPr>
          <w:rFonts w:ascii="Sylfaen" w:hAnsi="Sylfaen"/>
          <w:sz w:val="28"/>
          <w:szCs w:val="28"/>
        </w:rPr>
        <w:lastRenderedPageBreak/>
        <w:t>Two examples could be sufficient to underline this reality:</w:t>
      </w:r>
    </w:p>
    <w:p w14:paraId="0A75EBA5"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[A] On February 14, when the Armenian Church observes the feast of the Presentation of our Lord to the Temple, babies are carried to the altar to be presented to God (cf. Luke 2.22). But we see the remnant of pre-Christian elements in this celebration, when people take lit candles from the church into their homes and burn fires in the church courtyards as a way of denouncing Satan and illuminating their life with the light of Jesus Christ (cf. Isaiah 9.2). </w:t>
      </w:r>
    </w:p>
    <w:p w14:paraId="68DDCF56" w14:textId="77777777" w:rsidR="002251CE" w:rsidRPr="006F5AE3" w:rsidRDefault="002251CE" w:rsidP="002251CE">
      <w:pPr>
        <w:pStyle w:val="BodyText"/>
        <w:spacing w:after="0"/>
        <w:rPr>
          <w:rFonts w:ascii="Sylfaen" w:hAnsi="Sylfaen"/>
          <w:sz w:val="28"/>
          <w:szCs w:val="28"/>
        </w:rPr>
      </w:pPr>
    </w:p>
    <w:p w14:paraId="20681180"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[B] On the closest Sunday of August 14, when the Armenian Church celebrates the feast of the Assumption of St. Mary, grapes are blessed and distributed to the faithful. This custom has no historical background sustaining this feast, but is a pre-Christian penetration of dedicating the first fruit of the harvest to the deity of fertility. The only parallel that might be drawn from this tradition is the metaphor of Jesus being the first fruit of new creation (I Corinthians 15.23). </w:t>
      </w:r>
    </w:p>
    <w:p w14:paraId="53742D9F" w14:textId="77777777" w:rsidR="002251CE" w:rsidRPr="006F5AE3" w:rsidRDefault="002251CE" w:rsidP="002251CE">
      <w:pPr>
        <w:pStyle w:val="BodyText"/>
        <w:spacing w:after="0"/>
        <w:jc w:val="both"/>
        <w:rPr>
          <w:rFonts w:ascii="Sylfaen" w:hAnsi="Sylfaen"/>
          <w:sz w:val="28"/>
          <w:szCs w:val="28"/>
        </w:rPr>
      </w:pPr>
    </w:p>
    <w:p w14:paraId="2B070999"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The Armenian culture is heavily influenced and inspired by the Armenian Christian faith. Even the invention of the Armenian Alphabet and the dawning of the Golden Age of Armenian culture in the fifth century were motivated </w:t>
      </w:r>
      <w:r w:rsidRPr="006F5AE3">
        <w:rPr>
          <w:rFonts w:ascii="Sylfaen" w:hAnsi="Sylfaen"/>
          <w:iCs/>
          <w:sz w:val="28"/>
          <w:szCs w:val="28"/>
        </w:rPr>
        <w:t>“by making God speak in Armenian”</w:t>
      </w:r>
      <w:r w:rsidRPr="006F5AE3">
        <w:rPr>
          <w:rFonts w:ascii="Sylfaen" w:hAnsi="Sylfaen"/>
          <w:i/>
          <w:sz w:val="28"/>
          <w:szCs w:val="28"/>
        </w:rPr>
        <w:t xml:space="preserve"> </w:t>
      </w:r>
      <w:r w:rsidRPr="006F5AE3">
        <w:rPr>
          <w:rFonts w:ascii="Sylfaen" w:hAnsi="Sylfaen"/>
          <w:sz w:val="28"/>
          <w:szCs w:val="28"/>
        </w:rPr>
        <w:t>to the Armenians, as the contemporary historian put it.</w:t>
      </w:r>
    </w:p>
    <w:p w14:paraId="48080E72" w14:textId="77777777" w:rsidR="002251CE" w:rsidRPr="006F5AE3" w:rsidRDefault="002251CE" w:rsidP="002251CE">
      <w:pPr>
        <w:pStyle w:val="BodyText"/>
        <w:spacing w:after="0"/>
        <w:rPr>
          <w:rFonts w:ascii="Sylfaen" w:hAnsi="Sylfaen"/>
          <w:sz w:val="28"/>
          <w:szCs w:val="28"/>
        </w:rPr>
      </w:pPr>
    </w:p>
    <w:p w14:paraId="781EF969"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Today, I am faced with new challenges of granting priority to the religious and spiritual dimensions of the Armenian believers in my attempts of redefining the ethnocentric role of the Armenian Church. </w:t>
      </w:r>
    </w:p>
    <w:p w14:paraId="575334B8" w14:textId="77777777" w:rsidR="002251CE" w:rsidRPr="006F5AE3" w:rsidRDefault="002251CE" w:rsidP="002251CE">
      <w:pPr>
        <w:pStyle w:val="BodyText"/>
        <w:spacing w:after="0"/>
        <w:rPr>
          <w:rFonts w:ascii="Sylfaen" w:hAnsi="Sylfaen"/>
          <w:sz w:val="28"/>
          <w:szCs w:val="28"/>
        </w:rPr>
      </w:pPr>
    </w:p>
    <w:p w14:paraId="425C9DD5" w14:textId="7F722AE7" w:rsidR="002251CE" w:rsidRPr="006F5AE3" w:rsidRDefault="002251CE" w:rsidP="00FC44DA">
      <w:pPr>
        <w:pStyle w:val="BodyText"/>
        <w:spacing w:after="0"/>
        <w:jc w:val="both"/>
        <w:rPr>
          <w:rFonts w:ascii="Sylfaen" w:hAnsi="Sylfaen"/>
          <w:sz w:val="28"/>
          <w:szCs w:val="28"/>
        </w:rPr>
      </w:pPr>
      <w:r w:rsidRPr="006F5AE3">
        <w:rPr>
          <w:rFonts w:ascii="Sylfaen" w:hAnsi="Sylfaen"/>
          <w:b/>
          <w:sz w:val="28"/>
          <w:szCs w:val="28"/>
        </w:rPr>
        <w:t>“What is the role of the culture in all these?”</w:t>
      </w:r>
      <w:r w:rsidRPr="006F5AE3">
        <w:rPr>
          <w:rFonts w:ascii="Sylfaen" w:hAnsi="Sylfaen"/>
          <w:sz w:val="28"/>
          <w:szCs w:val="28"/>
        </w:rPr>
        <w:t xml:space="preserve"> and </w:t>
      </w:r>
      <w:r w:rsidRPr="006F5AE3">
        <w:rPr>
          <w:rFonts w:ascii="Sylfaen" w:hAnsi="Sylfaen"/>
          <w:b/>
          <w:sz w:val="28"/>
          <w:szCs w:val="28"/>
        </w:rPr>
        <w:t>“How can I carry on my mission in so many interwoven cultural contexts?”</w:t>
      </w:r>
      <w:r w:rsidRPr="006F5AE3">
        <w:rPr>
          <w:rFonts w:ascii="Sylfaen" w:hAnsi="Sylfaen"/>
          <w:sz w:val="28"/>
          <w:szCs w:val="28"/>
        </w:rPr>
        <w:t xml:space="preserve"> These are existential questions requiring proper answers geared with an eschatological vision of the promise of the eternal life and the realization of the Reign of God. In other words, the Armenian Church will continue to reach out to the social and educational needs of its faithful, preserve and perpetuate Armenian culture, and nurture moral values. But most of all it will bring Armenians closer to God. Redemption in Jesus should awaken us from being symbolic Christians and make us the disciples of our Savior. Prayer, repentance and renewal should enlighten our path to follow Christ and to live in Him (Colossians 2.6).</w:t>
      </w:r>
    </w:p>
    <w:p w14:paraId="761FD376" w14:textId="77777777" w:rsidR="002251CE" w:rsidRPr="006F5AE3" w:rsidRDefault="002251CE" w:rsidP="002251CE">
      <w:pPr>
        <w:pStyle w:val="BodyText"/>
        <w:spacing w:after="0"/>
        <w:jc w:val="center"/>
        <w:rPr>
          <w:rFonts w:ascii="Sylfaen" w:hAnsi="Sylfaen"/>
          <w:sz w:val="28"/>
          <w:szCs w:val="28"/>
        </w:rPr>
      </w:pPr>
      <w:r w:rsidRPr="006F5AE3">
        <w:rPr>
          <w:rFonts w:ascii="Sylfaen" w:hAnsi="Sylfaen"/>
          <w:sz w:val="28"/>
          <w:szCs w:val="28"/>
        </w:rPr>
        <w:lastRenderedPageBreak/>
        <w:t>* * *</w:t>
      </w:r>
    </w:p>
    <w:p w14:paraId="3E0042F7" w14:textId="77777777" w:rsidR="002251CE" w:rsidRPr="006F5AE3" w:rsidRDefault="002251CE" w:rsidP="002251CE">
      <w:pPr>
        <w:pStyle w:val="BodyText"/>
        <w:spacing w:after="0"/>
        <w:jc w:val="center"/>
        <w:rPr>
          <w:rFonts w:ascii="Sylfaen" w:hAnsi="Sylfaen"/>
          <w:sz w:val="28"/>
          <w:szCs w:val="28"/>
        </w:rPr>
      </w:pPr>
    </w:p>
    <w:p w14:paraId="2B15C331"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After the collapse of Communism, I visited Armenia for the first time. When I met people in churches, I assumed that they would participate in the service as they do in Lebanon in general. I was shocked when I realized that even they did not know how to make the sign of the cross and say the Lord’s Prayer. Seventy years of totalitarian regime had made them nominal </w:t>
      </w:r>
      <w:r w:rsidRPr="006F5AE3">
        <w:rPr>
          <w:rFonts w:ascii="Sylfaen" w:hAnsi="Sylfaen"/>
          <w:iCs/>
          <w:sz w:val="28"/>
          <w:szCs w:val="28"/>
        </w:rPr>
        <w:t>–</w:t>
      </w:r>
      <w:r w:rsidRPr="006F5AE3">
        <w:rPr>
          <w:rFonts w:ascii="Sylfaen" w:hAnsi="Sylfaen"/>
          <w:sz w:val="28"/>
          <w:szCs w:val="28"/>
        </w:rPr>
        <w:t>and for some fortunate ones only baptized</w:t>
      </w:r>
      <w:r w:rsidRPr="006F5AE3">
        <w:rPr>
          <w:rFonts w:ascii="Sylfaen" w:hAnsi="Sylfaen"/>
          <w:iCs/>
          <w:sz w:val="28"/>
          <w:szCs w:val="28"/>
        </w:rPr>
        <w:t>–</w:t>
      </w:r>
      <w:r w:rsidRPr="006F5AE3">
        <w:rPr>
          <w:rFonts w:ascii="Sylfaen" w:hAnsi="Sylfaen"/>
          <w:sz w:val="28"/>
          <w:szCs w:val="28"/>
        </w:rPr>
        <w:t xml:space="preserve"> Christians. The common sense that all Christians should pray did not apply to these and similar situations. Sharing this with you I am tempted to develop the common sense that Christians do not pray, rather they only attend church services, if they are not taught how and why to pray. Therefore, the big challenge for the Churches is to make their congregations praying congregations.</w:t>
      </w:r>
    </w:p>
    <w:p w14:paraId="7CEDF0E2" w14:textId="77777777" w:rsidR="002251CE" w:rsidRPr="006F5AE3" w:rsidRDefault="002251CE" w:rsidP="002251CE">
      <w:pPr>
        <w:rPr>
          <w:rFonts w:ascii="Sylfaen" w:hAnsi="Sylfaen"/>
          <w:snapToGrid w:val="0"/>
          <w:color w:val="000000"/>
          <w:sz w:val="28"/>
          <w:szCs w:val="28"/>
        </w:rPr>
      </w:pPr>
    </w:p>
    <w:p w14:paraId="4F3F163F" w14:textId="77777777" w:rsidR="002251CE" w:rsidRPr="006F5AE3" w:rsidRDefault="002251CE" w:rsidP="002251CE">
      <w:pPr>
        <w:jc w:val="center"/>
        <w:rPr>
          <w:rFonts w:ascii="Sylfaen" w:hAnsi="Sylfaen"/>
          <w:sz w:val="28"/>
          <w:szCs w:val="28"/>
        </w:rPr>
      </w:pPr>
      <w:r w:rsidRPr="006F5AE3">
        <w:rPr>
          <w:rFonts w:ascii="Sylfaen" w:hAnsi="Sylfaen"/>
          <w:sz w:val="28"/>
          <w:szCs w:val="28"/>
        </w:rPr>
        <w:t>2. The Ecumenical Framework</w:t>
      </w:r>
    </w:p>
    <w:p w14:paraId="42454A60" w14:textId="77777777" w:rsidR="002251CE" w:rsidRPr="006F5AE3" w:rsidRDefault="002251CE" w:rsidP="002251CE">
      <w:pPr>
        <w:jc w:val="center"/>
        <w:rPr>
          <w:rFonts w:ascii="Sylfaen" w:hAnsi="Sylfaen"/>
          <w:sz w:val="28"/>
          <w:szCs w:val="28"/>
        </w:rPr>
      </w:pPr>
    </w:p>
    <w:p w14:paraId="77431665" w14:textId="77777777" w:rsidR="002251CE" w:rsidRPr="006F5AE3" w:rsidRDefault="002251CE" w:rsidP="002251CE">
      <w:pPr>
        <w:rPr>
          <w:rFonts w:ascii="Sylfaen" w:hAnsi="Sylfaen"/>
          <w:iCs/>
          <w:sz w:val="28"/>
          <w:szCs w:val="28"/>
        </w:rPr>
      </w:pPr>
      <w:r w:rsidRPr="006F5AE3">
        <w:rPr>
          <w:rFonts w:ascii="Sylfaen" w:hAnsi="Sylfaen"/>
          <w:iCs/>
          <w:sz w:val="28"/>
          <w:szCs w:val="28"/>
        </w:rPr>
        <w:t>1. Ecumenism is an excellent and ideal venue for a genuine dialogue of cultures</w:t>
      </w:r>
    </w:p>
    <w:p w14:paraId="63BF1281"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My ecumenical involvement became a source of enrichment not only in ecclesiastical and spiritual sense, but also as an opportunity of cultural maturity. The multi-cultural and cross-cultural reality of the entire </w:t>
      </w:r>
      <w:r w:rsidRPr="006F5AE3">
        <w:rPr>
          <w:rFonts w:ascii="Sylfaen" w:hAnsi="Sylfaen"/>
          <w:i/>
          <w:sz w:val="28"/>
          <w:szCs w:val="28"/>
        </w:rPr>
        <w:t xml:space="preserve">oikumene </w:t>
      </w:r>
      <w:r w:rsidRPr="006F5AE3">
        <w:rPr>
          <w:rFonts w:ascii="Sylfaen" w:hAnsi="Sylfaen"/>
          <w:sz w:val="28"/>
          <w:szCs w:val="28"/>
        </w:rPr>
        <w:t>put me in energetic contacts with many people of different cultural backgrounds. The pluralistic nature of this involvement is reflected in the distinctiveness of the ecumenical culture forging by the participation of all member Churches and the preservation of their distinctiveness in unity as diversity.</w:t>
      </w:r>
    </w:p>
    <w:p w14:paraId="3435DBC5" w14:textId="77777777" w:rsidR="002251CE" w:rsidRPr="006F5AE3" w:rsidRDefault="002251CE" w:rsidP="002251CE">
      <w:pPr>
        <w:pStyle w:val="BodyText"/>
        <w:spacing w:after="0"/>
        <w:rPr>
          <w:rFonts w:ascii="Sylfaen" w:hAnsi="Sylfaen"/>
          <w:sz w:val="28"/>
          <w:szCs w:val="28"/>
        </w:rPr>
      </w:pPr>
    </w:p>
    <w:p w14:paraId="113CE68B"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This dialogical character of ecumenism corresponds fully to Gadamer’s assessment, that </w:t>
      </w:r>
      <w:r w:rsidRPr="006F5AE3">
        <w:rPr>
          <w:rFonts w:ascii="Sylfaen" w:hAnsi="Sylfaen"/>
          <w:iCs/>
          <w:sz w:val="28"/>
          <w:szCs w:val="28"/>
        </w:rPr>
        <w:t>“Dialectic or conversation constitutes the only non-manipulatory mode of apprehending truth which does not predetermine what counts as true in advance”</w:t>
      </w:r>
      <w:r w:rsidRPr="006F5AE3">
        <w:rPr>
          <w:rFonts w:ascii="Sylfaen" w:hAnsi="Sylfaen"/>
          <w:i/>
          <w:sz w:val="28"/>
          <w:szCs w:val="28"/>
        </w:rPr>
        <w:t xml:space="preserve"> </w:t>
      </w:r>
      <w:r w:rsidRPr="006F5AE3">
        <w:rPr>
          <w:rFonts w:ascii="Sylfaen" w:hAnsi="Sylfaen"/>
          <w:sz w:val="28"/>
          <w:szCs w:val="28"/>
        </w:rPr>
        <w:t xml:space="preserve">(Anthony C. Thiselton, INTERPRETING GOD AND THE POSTMODERN SELF, p. 70), and can be identified as Van der Brink’s </w:t>
      </w:r>
      <w:r w:rsidRPr="006F5AE3">
        <w:rPr>
          <w:rFonts w:ascii="Sylfaen" w:hAnsi="Sylfaen"/>
          <w:iCs/>
          <w:sz w:val="28"/>
          <w:szCs w:val="28"/>
        </w:rPr>
        <w:t xml:space="preserve">“C-power (power as capacity)” </w:t>
      </w:r>
      <w:r w:rsidRPr="006F5AE3">
        <w:rPr>
          <w:rFonts w:ascii="Sylfaen" w:hAnsi="Sylfaen"/>
          <w:sz w:val="28"/>
          <w:szCs w:val="28"/>
        </w:rPr>
        <w:t xml:space="preserve">(Ibid., p. 30). This confers the opportunity to break down isolating factors of rhetoric, meet people cherishing other traditions, engage in a sincere dialogue with them, and enhance the sense of the universality of the Christian Church in an atmosphere of cross-cultural open space and mutual receptiveness. Paul Ricoeur refers to this kind of situation, when he writes: </w:t>
      </w:r>
      <w:r w:rsidRPr="006F5AE3">
        <w:rPr>
          <w:rFonts w:ascii="Sylfaen" w:hAnsi="Sylfaen"/>
          <w:iCs/>
          <w:sz w:val="28"/>
          <w:szCs w:val="28"/>
        </w:rPr>
        <w:t xml:space="preserve">“Language is the exteriorization thanks to which an impression is </w:t>
      </w:r>
      <w:r w:rsidRPr="006F5AE3">
        <w:rPr>
          <w:rFonts w:ascii="Sylfaen" w:hAnsi="Sylfaen"/>
          <w:iCs/>
          <w:sz w:val="28"/>
          <w:szCs w:val="28"/>
        </w:rPr>
        <w:lastRenderedPageBreak/>
        <w:t>transcended and becomes an ex-pression, or, in other words, the transformation of the psychic into the noetic. Exteriorization and communicability are one and the same thing for they are nothing other than this elevation of a part of our life into the logos of discourse. There the solitude of life is for a moment, anyway, illuminated by the common light of discourse”</w:t>
      </w:r>
      <w:r w:rsidRPr="006F5AE3">
        <w:rPr>
          <w:rFonts w:ascii="Sylfaen" w:hAnsi="Sylfaen"/>
          <w:i/>
          <w:sz w:val="28"/>
          <w:szCs w:val="28"/>
        </w:rPr>
        <w:t xml:space="preserve"> </w:t>
      </w:r>
      <w:r w:rsidRPr="006F5AE3">
        <w:rPr>
          <w:rFonts w:ascii="Sylfaen" w:hAnsi="Sylfaen"/>
          <w:sz w:val="28"/>
          <w:szCs w:val="28"/>
        </w:rPr>
        <w:t>(INTERPRETATION THEORY, p. 19).</w:t>
      </w:r>
    </w:p>
    <w:p w14:paraId="68650B08" w14:textId="77777777" w:rsidR="002251CE" w:rsidRPr="006F5AE3" w:rsidRDefault="002251CE" w:rsidP="002251CE">
      <w:pPr>
        <w:pStyle w:val="BodyText"/>
        <w:spacing w:after="0"/>
        <w:rPr>
          <w:rFonts w:ascii="Sylfaen" w:hAnsi="Sylfaen"/>
          <w:sz w:val="28"/>
          <w:szCs w:val="28"/>
        </w:rPr>
      </w:pPr>
    </w:p>
    <w:p w14:paraId="07651604"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The development of common ecumenical culture transcends the dialogical boundaries and reflects the witness and the mission of the churches in their responsible reaction to common concerns and problems, of which I would like to identify the following three areas:</w:t>
      </w:r>
    </w:p>
    <w:p w14:paraId="4C0A3E57" w14:textId="77777777" w:rsidR="002251CE" w:rsidRPr="006F5AE3" w:rsidRDefault="002251CE" w:rsidP="002251CE">
      <w:pPr>
        <w:pStyle w:val="BodyText"/>
        <w:spacing w:after="0"/>
        <w:rPr>
          <w:rFonts w:ascii="Sylfaen" w:hAnsi="Sylfaen"/>
          <w:sz w:val="28"/>
          <w:szCs w:val="28"/>
        </w:rPr>
      </w:pPr>
    </w:p>
    <w:p w14:paraId="400673DC"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i/>
          <w:sz w:val="28"/>
          <w:szCs w:val="28"/>
        </w:rPr>
        <w:t xml:space="preserve">A. The emergence of a new post-Christian culture. </w:t>
      </w:r>
      <w:r w:rsidRPr="006F5AE3">
        <w:rPr>
          <w:rFonts w:ascii="Sylfaen" w:hAnsi="Sylfaen"/>
          <w:sz w:val="28"/>
          <w:szCs w:val="28"/>
        </w:rPr>
        <w:t xml:space="preserve">Our society is dominated by the lack of belief in personal God depicted in the Holy Bible, the irrelevance of biblical truths in the daily lives of the people, and the rise of New Age cults. Thus, the central and leading role of Christianity is diminished. This trend is associated with religio-cultural fundamentalism and spreads out with many labels and definitions </w:t>
      </w:r>
      <w:r w:rsidRPr="006F5AE3">
        <w:rPr>
          <w:rFonts w:ascii="Sylfaen" w:hAnsi="Sylfaen"/>
          <w:iCs/>
          <w:sz w:val="28"/>
          <w:szCs w:val="28"/>
        </w:rPr>
        <w:t xml:space="preserve">–– </w:t>
      </w:r>
      <w:r w:rsidRPr="006F5AE3">
        <w:rPr>
          <w:rFonts w:ascii="Sylfaen" w:hAnsi="Sylfaen"/>
          <w:sz w:val="28"/>
          <w:szCs w:val="28"/>
        </w:rPr>
        <w:t xml:space="preserve">such as, secular, liberal, pagan, agnostic, atheist, humanist etc. </w:t>
      </w:r>
    </w:p>
    <w:p w14:paraId="52979A1C" w14:textId="77777777" w:rsidR="002251CE" w:rsidRPr="006F5AE3" w:rsidRDefault="002251CE" w:rsidP="002251CE">
      <w:pPr>
        <w:pStyle w:val="BodyText"/>
        <w:spacing w:after="0"/>
        <w:jc w:val="center"/>
        <w:rPr>
          <w:rFonts w:ascii="Sylfaen" w:hAnsi="Sylfaen"/>
          <w:sz w:val="28"/>
          <w:szCs w:val="28"/>
        </w:rPr>
      </w:pPr>
    </w:p>
    <w:p w14:paraId="1D000030" w14:textId="0E44C691" w:rsidR="002251CE" w:rsidRPr="006F5AE3" w:rsidRDefault="002251CE" w:rsidP="002251CE">
      <w:pPr>
        <w:pStyle w:val="BodyText"/>
        <w:spacing w:after="0"/>
        <w:jc w:val="both"/>
        <w:rPr>
          <w:rFonts w:ascii="Sylfaen" w:hAnsi="Sylfaen"/>
          <w:sz w:val="28"/>
          <w:szCs w:val="28"/>
        </w:rPr>
      </w:pPr>
      <w:r w:rsidRPr="006F5AE3">
        <w:rPr>
          <w:rFonts w:ascii="Sylfaen" w:hAnsi="Sylfaen"/>
          <w:i/>
          <w:sz w:val="28"/>
          <w:szCs w:val="28"/>
        </w:rPr>
        <w:t>B. The decline of moral authority.</w:t>
      </w:r>
      <w:r w:rsidRPr="006F5AE3">
        <w:rPr>
          <w:rFonts w:ascii="Sylfaen" w:hAnsi="Sylfaen"/>
          <w:sz w:val="28"/>
          <w:szCs w:val="28"/>
        </w:rPr>
        <w:t xml:space="preserve"> The Church used to be the center of communal life where people were guided by the biblical ethical standards. The family used to be the extension of the Church as a stronghold of morality, love and care</w:t>
      </w:r>
      <w:r w:rsidR="002E3534">
        <w:rPr>
          <w:rFonts w:ascii="Sylfaen" w:hAnsi="Sylfaen"/>
          <w:sz w:val="28"/>
          <w:szCs w:val="28"/>
        </w:rPr>
        <w:t>.</w:t>
      </w:r>
      <w:r w:rsidR="002E3534">
        <w:rPr>
          <w:rStyle w:val="FootnoteReference"/>
          <w:rFonts w:ascii="Sylfaen" w:hAnsi="Sylfaen"/>
          <w:sz w:val="28"/>
          <w:szCs w:val="28"/>
        </w:rPr>
        <w:footnoteReference w:id="3"/>
      </w:r>
      <w:r w:rsidRPr="006F5AE3">
        <w:rPr>
          <w:rFonts w:ascii="Sylfaen" w:hAnsi="Sylfaen"/>
          <w:sz w:val="28"/>
          <w:szCs w:val="28"/>
        </w:rPr>
        <w:t xml:space="preserve"> The society used to be a safe haven where all people lived in a safe atmosphere without the penetration of crime and drugs. Nowadays the ‘me-first’ attitude, violence, abuse, cyberporn, degradation of family values, the increasing breakdown of the family unit, suicide, alcoholism and other phenomena hurting </w:t>
      </w:r>
      <w:r w:rsidRPr="006F5AE3">
        <w:rPr>
          <w:rFonts w:ascii="Sylfaen" w:hAnsi="Sylfaen"/>
          <w:sz w:val="28"/>
          <w:szCs w:val="28"/>
        </w:rPr>
        <w:lastRenderedPageBreak/>
        <w:t>our society make us lament the lack of what were once perceived as divine, biblical, clear, and timeless ethical and social guidelines.</w:t>
      </w:r>
    </w:p>
    <w:p w14:paraId="2413E703" w14:textId="77777777" w:rsidR="002251CE" w:rsidRPr="006F5AE3" w:rsidRDefault="002251CE" w:rsidP="002251CE">
      <w:pPr>
        <w:pStyle w:val="BodyText"/>
        <w:spacing w:after="0"/>
        <w:rPr>
          <w:rFonts w:ascii="Sylfaen" w:hAnsi="Sylfaen"/>
          <w:i/>
          <w:sz w:val="28"/>
          <w:szCs w:val="28"/>
        </w:rPr>
      </w:pPr>
    </w:p>
    <w:p w14:paraId="2A92330F"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i/>
          <w:sz w:val="28"/>
          <w:szCs w:val="28"/>
        </w:rPr>
        <w:t>C. Consumerism.</w:t>
      </w:r>
      <w:r w:rsidRPr="006F5AE3">
        <w:rPr>
          <w:rFonts w:ascii="Sylfaen" w:hAnsi="Sylfaen"/>
          <w:b/>
          <w:i/>
          <w:sz w:val="28"/>
          <w:szCs w:val="28"/>
        </w:rPr>
        <w:t xml:space="preserve"> </w:t>
      </w:r>
      <w:r w:rsidRPr="006F5AE3">
        <w:rPr>
          <w:rFonts w:ascii="Sylfaen" w:hAnsi="Sylfaen"/>
          <w:sz w:val="28"/>
          <w:szCs w:val="28"/>
        </w:rPr>
        <w:t>Our society is</w:t>
      </w:r>
      <w:r w:rsidRPr="006F5AE3">
        <w:rPr>
          <w:rFonts w:ascii="Sylfaen" w:hAnsi="Sylfaen"/>
          <w:b/>
          <w:sz w:val="28"/>
          <w:szCs w:val="28"/>
        </w:rPr>
        <w:t xml:space="preserve"> </w:t>
      </w:r>
      <w:r w:rsidRPr="006F5AE3">
        <w:rPr>
          <w:rFonts w:ascii="Sylfaen" w:hAnsi="Sylfaen"/>
          <w:sz w:val="28"/>
          <w:szCs w:val="28"/>
        </w:rPr>
        <w:t xml:space="preserve">identified as a consumerist society accentuated with profit, consumption and materialism. Poverty, hunger, ecological crisis, and negative side-effects of various technological advancements are creating a troublesome ambience where we are evaluating everything only with its dollar-value instead of applying the Gospel teachings of love and charity to our daily life. In this type of self-centered, individualistic society, sin is entering our lives because of no clear-cut line of demarcation between spiritual, intellectual and physical needs. This ideology is giving the impression that the only way for survival and true happiness is to take care of us at the cost of the other. This purely economic approach is dictating a social and spiritual imbalance between the rich and the poor, disintegrating </w:t>
      </w:r>
      <w:r w:rsidRPr="006F5AE3">
        <w:rPr>
          <w:rFonts w:ascii="Sylfaen" w:hAnsi="Sylfaen"/>
          <w:i/>
          <w:sz w:val="28"/>
          <w:szCs w:val="28"/>
        </w:rPr>
        <w:t>“the divine image”</w:t>
      </w:r>
      <w:r w:rsidRPr="006F5AE3">
        <w:rPr>
          <w:rFonts w:ascii="Sylfaen" w:hAnsi="Sylfaen"/>
          <w:sz w:val="28"/>
          <w:szCs w:val="28"/>
        </w:rPr>
        <w:t xml:space="preserve"> (Genesis 2.27) of human beings and creating a social chaos.</w:t>
      </w:r>
    </w:p>
    <w:p w14:paraId="45BD9F8A" w14:textId="77777777" w:rsidR="002251CE" w:rsidRPr="006F5AE3" w:rsidRDefault="002251CE" w:rsidP="002251CE">
      <w:pPr>
        <w:pStyle w:val="BodyText"/>
        <w:spacing w:after="0"/>
        <w:rPr>
          <w:rFonts w:ascii="Sylfaen" w:hAnsi="Sylfaen"/>
          <w:i/>
          <w:sz w:val="28"/>
          <w:szCs w:val="28"/>
        </w:rPr>
      </w:pPr>
    </w:p>
    <w:p w14:paraId="169E49DA" w14:textId="77777777" w:rsidR="002251CE" w:rsidRPr="006F5AE3" w:rsidRDefault="002251CE" w:rsidP="002251CE">
      <w:pPr>
        <w:pStyle w:val="BodyText"/>
        <w:spacing w:after="0"/>
        <w:rPr>
          <w:rFonts w:ascii="Sylfaen" w:hAnsi="Sylfaen"/>
          <w:iCs/>
          <w:sz w:val="28"/>
          <w:szCs w:val="28"/>
        </w:rPr>
      </w:pPr>
      <w:r w:rsidRPr="006F5AE3">
        <w:rPr>
          <w:rFonts w:ascii="Sylfaen" w:hAnsi="Sylfaen"/>
          <w:iCs/>
          <w:sz w:val="28"/>
          <w:szCs w:val="28"/>
        </w:rPr>
        <w:t>2. Ecumenism forms community and makes the intercultural communication a living and energetic reality</w:t>
      </w:r>
    </w:p>
    <w:p w14:paraId="5183E611"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In ecumenical partnership we are called to interpose the meaning of the cross cultures in an atmosphere of genuine Christian community free of prejudices, fears, and arrogance. The need for community creates a space for sharing and fellowship and discerning Jesus Christ under the guidance of the Holy Spirit in diverse cultures of Christian Churches.</w:t>
      </w:r>
    </w:p>
    <w:p w14:paraId="4C1E0B04" w14:textId="77777777" w:rsidR="002251CE" w:rsidRPr="006F5AE3" w:rsidRDefault="002251CE" w:rsidP="002251CE">
      <w:pPr>
        <w:pStyle w:val="BodyText"/>
        <w:spacing w:after="0"/>
        <w:rPr>
          <w:rFonts w:ascii="Sylfaen" w:hAnsi="Sylfaen"/>
          <w:sz w:val="28"/>
          <w:szCs w:val="28"/>
        </w:rPr>
      </w:pPr>
    </w:p>
    <w:p w14:paraId="3799876C" w14:textId="77777777" w:rsidR="002251CE" w:rsidRPr="006F5AE3" w:rsidRDefault="002251CE" w:rsidP="002251CE">
      <w:pPr>
        <w:pStyle w:val="BodyText"/>
        <w:spacing w:after="0"/>
        <w:jc w:val="both"/>
        <w:rPr>
          <w:rFonts w:ascii="Sylfaen" w:hAnsi="Sylfaen"/>
          <w:sz w:val="28"/>
          <w:szCs w:val="28"/>
        </w:rPr>
      </w:pPr>
      <w:r w:rsidRPr="006F5AE3">
        <w:rPr>
          <w:rFonts w:ascii="Sylfaen" w:hAnsi="Sylfaen"/>
          <w:sz w:val="28"/>
          <w:szCs w:val="28"/>
        </w:rPr>
        <w:t xml:space="preserve">Mutual love, trust, respect, and receptiveness make this encounter of cultures a blessed occasion of grace, continuous dialogue and growing communion. This joyful cooperation of ecumenical spirit becomes the manifestation of the common witness and the sign of God’s inclusive love in speaking and listening, challenging and supporting each other in our common faith in Jesus Christ. </w:t>
      </w:r>
      <w:r w:rsidRPr="006F5AE3">
        <w:rPr>
          <w:rFonts w:ascii="Sylfaen" w:hAnsi="Sylfaen"/>
          <w:iCs/>
          <w:sz w:val="28"/>
          <w:szCs w:val="28"/>
        </w:rPr>
        <w:t>“All else is shaped by the differential cultures of different members of diverse congregations”</w:t>
      </w:r>
      <w:r w:rsidRPr="006F5AE3">
        <w:rPr>
          <w:rFonts w:ascii="Sylfaen" w:hAnsi="Sylfaen"/>
          <w:i/>
          <w:sz w:val="28"/>
          <w:szCs w:val="28"/>
        </w:rPr>
        <w:t xml:space="preserve"> </w:t>
      </w:r>
      <w:r w:rsidRPr="006F5AE3">
        <w:rPr>
          <w:rFonts w:ascii="Sylfaen" w:hAnsi="Sylfaen"/>
          <w:sz w:val="28"/>
          <w:szCs w:val="28"/>
        </w:rPr>
        <w:t xml:space="preserve">as is asserted in Martin E. Marty’s article </w:t>
      </w:r>
      <w:r w:rsidRPr="006F5AE3">
        <w:rPr>
          <w:rFonts w:ascii="Sylfaen" w:hAnsi="Sylfaen"/>
          <w:i/>
          <w:sz w:val="28"/>
          <w:szCs w:val="28"/>
        </w:rPr>
        <w:t xml:space="preserve">The Congregation as a Culture </w:t>
      </w:r>
      <w:r w:rsidRPr="006F5AE3">
        <w:rPr>
          <w:rFonts w:ascii="Sylfaen" w:hAnsi="Sylfaen"/>
          <w:sz w:val="28"/>
          <w:szCs w:val="28"/>
        </w:rPr>
        <w:t>(p. 17).</w:t>
      </w:r>
    </w:p>
    <w:p w14:paraId="17ED1473" w14:textId="77777777" w:rsidR="002251CE" w:rsidRPr="006F5AE3" w:rsidRDefault="002251CE" w:rsidP="002251CE">
      <w:pPr>
        <w:pStyle w:val="BodyText"/>
        <w:spacing w:after="0"/>
        <w:rPr>
          <w:rFonts w:ascii="Sylfaen" w:hAnsi="Sylfaen"/>
          <w:sz w:val="28"/>
          <w:szCs w:val="28"/>
        </w:rPr>
      </w:pPr>
    </w:p>
    <w:p w14:paraId="7D364DED" w14:textId="77777777" w:rsidR="002251CE" w:rsidRPr="006F5AE3" w:rsidRDefault="002251CE" w:rsidP="005705FF">
      <w:pPr>
        <w:pStyle w:val="BodyText"/>
        <w:spacing w:after="0"/>
        <w:jc w:val="both"/>
        <w:rPr>
          <w:rFonts w:ascii="Sylfaen" w:hAnsi="Sylfaen"/>
          <w:i/>
          <w:sz w:val="28"/>
          <w:szCs w:val="28"/>
        </w:rPr>
      </w:pPr>
      <w:r w:rsidRPr="006F5AE3">
        <w:rPr>
          <w:rFonts w:ascii="Sylfaen" w:hAnsi="Sylfaen"/>
          <w:sz w:val="28"/>
          <w:szCs w:val="28"/>
        </w:rPr>
        <w:t xml:space="preserve">The community ecumenism is trying to shape exceeds the limitations of inner-Christian circles and becomes a multi-faith reality in our pluralistic society, </w:t>
      </w:r>
      <w:r w:rsidRPr="006F5AE3">
        <w:rPr>
          <w:rFonts w:ascii="Sylfaen" w:hAnsi="Sylfaen"/>
          <w:sz w:val="28"/>
          <w:szCs w:val="28"/>
        </w:rPr>
        <w:lastRenderedPageBreak/>
        <w:t xml:space="preserve">reflected by bilateral and multilateral interfaith dialogue, as is defined in Charles Gerkin’s article: </w:t>
      </w:r>
      <w:r w:rsidRPr="006F5AE3">
        <w:rPr>
          <w:rFonts w:ascii="Sylfaen" w:hAnsi="Sylfaen"/>
          <w:iCs/>
          <w:sz w:val="28"/>
          <w:szCs w:val="28"/>
        </w:rPr>
        <w:t xml:space="preserve">“In the pluralistic world in which Christians now find themselves, practical theology must take its place in the work of bringing about a fusion of horizons of the Christian source of judgement, taste, and understanding of the fitting with other horizons that shape differing views of judgement, taste, and the fitting in contemporary life” </w:t>
      </w:r>
      <w:r w:rsidRPr="006F5AE3">
        <w:rPr>
          <w:rFonts w:ascii="Sylfaen" w:hAnsi="Sylfaen"/>
          <w:sz w:val="28"/>
          <w:szCs w:val="28"/>
        </w:rPr>
        <w:t xml:space="preserve">(PROPHETIC PASTORAL PRACTICE, </w:t>
      </w:r>
      <w:r w:rsidRPr="006F5AE3">
        <w:rPr>
          <w:rFonts w:ascii="Sylfaen" w:hAnsi="Sylfaen"/>
          <w:i/>
          <w:sz w:val="28"/>
          <w:szCs w:val="28"/>
        </w:rPr>
        <w:t xml:space="preserve">“By Reason or by the Imagination?” </w:t>
      </w:r>
      <w:r w:rsidRPr="006F5AE3">
        <w:rPr>
          <w:rFonts w:ascii="Sylfaen" w:hAnsi="Sylfaen"/>
          <w:sz w:val="28"/>
          <w:szCs w:val="28"/>
        </w:rPr>
        <w:t>p. 65).</w:t>
      </w:r>
    </w:p>
    <w:p w14:paraId="2758683F" w14:textId="77777777" w:rsidR="002251CE" w:rsidRPr="006F5AE3" w:rsidRDefault="002251CE" w:rsidP="005705FF">
      <w:pPr>
        <w:pStyle w:val="BodyText"/>
        <w:spacing w:after="0"/>
        <w:jc w:val="both"/>
        <w:rPr>
          <w:rFonts w:ascii="Sylfaen" w:hAnsi="Sylfaen"/>
          <w:iCs/>
          <w:sz w:val="28"/>
          <w:szCs w:val="28"/>
        </w:rPr>
      </w:pPr>
    </w:p>
    <w:p w14:paraId="05A408FD" w14:textId="77777777" w:rsidR="002251CE" w:rsidRPr="006F5AE3" w:rsidRDefault="002251CE" w:rsidP="005705FF">
      <w:pPr>
        <w:pStyle w:val="BodyText"/>
        <w:spacing w:after="0"/>
        <w:jc w:val="both"/>
        <w:rPr>
          <w:rFonts w:ascii="Sylfaen" w:hAnsi="Sylfaen"/>
          <w:i/>
          <w:sz w:val="28"/>
          <w:szCs w:val="28"/>
        </w:rPr>
      </w:pPr>
      <w:r w:rsidRPr="006F5AE3">
        <w:rPr>
          <w:rFonts w:ascii="Sylfaen" w:hAnsi="Sylfaen"/>
          <w:sz w:val="28"/>
          <w:szCs w:val="28"/>
        </w:rPr>
        <w:t xml:space="preserve">How accurate is Hence Betti in declaring: </w:t>
      </w:r>
      <w:r w:rsidRPr="006F5AE3">
        <w:rPr>
          <w:rFonts w:ascii="Sylfaen" w:hAnsi="Sylfaen"/>
          <w:i/>
          <w:sz w:val="28"/>
          <w:szCs w:val="28"/>
        </w:rPr>
        <w:t xml:space="preserve">“Nothing is of greater importance to humankind than living in mutual understanding with one’s fellow human beings” </w:t>
      </w:r>
      <w:r w:rsidRPr="006F5AE3">
        <w:rPr>
          <w:rFonts w:ascii="Sylfaen" w:hAnsi="Sylfaen"/>
          <w:sz w:val="28"/>
          <w:szCs w:val="28"/>
        </w:rPr>
        <w:t>(Anthony C. Thiselton, INTERPRETING GOD AND THE POSTMODERN SELF, p. 42).</w:t>
      </w:r>
    </w:p>
    <w:p w14:paraId="1B902EE1" w14:textId="77777777" w:rsidR="002251CE" w:rsidRPr="006F5AE3" w:rsidRDefault="002251CE" w:rsidP="005705FF">
      <w:pPr>
        <w:pStyle w:val="BodyText"/>
        <w:spacing w:after="0"/>
        <w:rPr>
          <w:rFonts w:ascii="Sylfaen" w:hAnsi="Sylfaen"/>
          <w:iCs/>
          <w:sz w:val="28"/>
          <w:szCs w:val="28"/>
        </w:rPr>
      </w:pPr>
    </w:p>
    <w:p w14:paraId="05631C15" w14:textId="77777777" w:rsidR="002251CE" w:rsidRPr="006F5AE3" w:rsidRDefault="002251CE" w:rsidP="005705FF">
      <w:pPr>
        <w:pStyle w:val="BodyText"/>
        <w:spacing w:after="0"/>
        <w:jc w:val="both"/>
        <w:rPr>
          <w:rFonts w:ascii="Sylfaen" w:hAnsi="Sylfaen"/>
          <w:iCs/>
          <w:sz w:val="28"/>
          <w:szCs w:val="28"/>
        </w:rPr>
      </w:pPr>
      <w:r w:rsidRPr="006F5AE3">
        <w:rPr>
          <w:rFonts w:ascii="Sylfaen" w:hAnsi="Sylfaen"/>
          <w:iCs/>
          <w:sz w:val="28"/>
          <w:szCs w:val="28"/>
        </w:rPr>
        <w:t>3. Ecumenism calls the Churches to proclaim the authenticity of the Reign of God despite the variety of its expressions in different cultures</w:t>
      </w:r>
    </w:p>
    <w:p w14:paraId="46390E82" w14:textId="77777777" w:rsidR="002251CE" w:rsidRPr="006F5AE3" w:rsidRDefault="002251CE" w:rsidP="005705FF">
      <w:pPr>
        <w:jc w:val="both"/>
        <w:rPr>
          <w:rFonts w:ascii="Sylfaen" w:hAnsi="Sylfaen"/>
          <w:sz w:val="28"/>
          <w:szCs w:val="28"/>
        </w:rPr>
      </w:pPr>
      <w:r w:rsidRPr="006F5AE3">
        <w:rPr>
          <w:rFonts w:ascii="Sylfaen" w:hAnsi="Sylfaen"/>
          <w:sz w:val="28"/>
          <w:szCs w:val="28"/>
        </w:rPr>
        <w:t xml:space="preserve">Christian faith needs to be expressed and disclosed. Paul Ricoeur makes this an explicit reality when he writes: </w:t>
      </w:r>
      <w:r w:rsidRPr="006F5AE3">
        <w:rPr>
          <w:rFonts w:ascii="Sylfaen" w:hAnsi="Sylfaen"/>
          <w:iCs/>
          <w:sz w:val="28"/>
          <w:szCs w:val="28"/>
        </w:rPr>
        <w:t xml:space="preserve">“Psychologizing conception of hermeneutics has had a great influence on Christian theology. It nourished the theologies of the Word-Event for which the event par excellence is speech event, and this speech event is the Kerygma, the preaching of the Gospel. The meaning of the original event testifies to itself in the present event by which we apply it to ourselves on the act of faith” </w:t>
      </w:r>
      <w:r w:rsidRPr="006F5AE3">
        <w:rPr>
          <w:rFonts w:ascii="Sylfaen" w:hAnsi="Sylfaen"/>
          <w:sz w:val="28"/>
          <w:szCs w:val="28"/>
        </w:rPr>
        <w:t xml:space="preserve">(INTERPRETATION THEORY, p. 22). Alma M. Gomez puts this in a different perspective when she writes that her Puerto Rican parents taught her </w:t>
      </w:r>
      <w:r w:rsidRPr="006F5AE3">
        <w:rPr>
          <w:rFonts w:ascii="Sylfaen" w:hAnsi="Sylfaen"/>
          <w:iCs/>
          <w:sz w:val="28"/>
          <w:szCs w:val="28"/>
        </w:rPr>
        <w:t>“that once you discover words you discover your history and that to speak a true word is to transform the world”</w:t>
      </w:r>
      <w:r w:rsidRPr="006F5AE3">
        <w:rPr>
          <w:rFonts w:ascii="Sylfaen" w:hAnsi="Sylfaen"/>
          <w:i/>
          <w:sz w:val="28"/>
          <w:szCs w:val="28"/>
        </w:rPr>
        <w:t xml:space="preserve"> </w:t>
      </w:r>
      <w:r w:rsidRPr="006F5AE3">
        <w:rPr>
          <w:rFonts w:ascii="Sylfaen" w:hAnsi="Sylfaen"/>
          <w:sz w:val="28"/>
          <w:szCs w:val="28"/>
        </w:rPr>
        <w:t>(CUENTOS: STORIES BY LATINAS).</w:t>
      </w:r>
    </w:p>
    <w:p w14:paraId="15EE6E41" w14:textId="77777777" w:rsidR="002251CE" w:rsidRPr="006F5AE3" w:rsidRDefault="002251CE" w:rsidP="005705FF">
      <w:pPr>
        <w:rPr>
          <w:rFonts w:ascii="Sylfaen" w:hAnsi="Sylfaen"/>
          <w:sz w:val="28"/>
          <w:szCs w:val="28"/>
        </w:rPr>
      </w:pPr>
    </w:p>
    <w:p w14:paraId="77086763" w14:textId="77777777" w:rsidR="002251CE" w:rsidRPr="006F5AE3" w:rsidRDefault="002251CE" w:rsidP="005705FF">
      <w:pPr>
        <w:pStyle w:val="BodyText"/>
        <w:spacing w:after="0"/>
        <w:jc w:val="both"/>
        <w:rPr>
          <w:rFonts w:ascii="Sylfaen" w:hAnsi="Sylfaen"/>
          <w:sz w:val="28"/>
          <w:szCs w:val="28"/>
        </w:rPr>
      </w:pPr>
      <w:r w:rsidRPr="006F5AE3">
        <w:rPr>
          <w:rFonts w:ascii="Sylfaen" w:hAnsi="Sylfaen"/>
          <w:sz w:val="28"/>
          <w:szCs w:val="28"/>
        </w:rPr>
        <w:t xml:space="preserve">In this era of dialogue and inter-communion no one is isolated anymore. The global network of communication interconnects all of us. Various faiths, nations, governments, and agencies are putting an end to their animosities, ideological differences and destructive competitions and cooperating for the goodness of whole creation. </w:t>
      </w:r>
    </w:p>
    <w:p w14:paraId="18732E83" w14:textId="77777777" w:rsidR="002251CE" w:rsidRPr="006F5AE3" w:rsidRDefault="002251CE" w:rsidP="005705FF">
      <w:pPr>
        <w:pStyle w:val="BodyText"/>
        <w:spacing w:after="0"/>
        <w:jc w:val="both"/>
        <w:rPr>
          <w:rFonts w:ascii="Sylfaen" w:hAnsi="Sylfaen"/>
          <w:sz w:val="28"/>
          <w:szCs w:val="28"/>
        </w:rPr>
      </w:pPr>
      <w:r w:rsidRPr="006F5AE3">
        <w:rPr>
          <w:rFonts w:ascii="Sylfaen" w:hAnsi="Sylfaen"/>
          <w:sz w:val="28"/>
          <w:szCs w:val="28"/>
        </w:rPr>
        <w:tab/>
      </w:r>
    </w:p>
    <w:p w14:paraId="15CC207F"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The challenge that the Churches face today is how to present the Gospel in this complex world. We have to balance the preservation of our ethnic and religious particular identities and subcultures with the cultural pluralism and global </w:t>
      </w:r>
      <w:r w:rsidRPr="006F5AE3">
        <w:rPr>
          <w:rFonts w:ascii="Sylfaen" w:hAnsi="Sylfaen"/>
          <w:sz w:val="28"/>
          <w:szCs w:val="28"/>
        </w:rPr>
        <w:lastRenderedPageBreak/>
        <w:t xml:space="preserve">culture. The danger arises when the Churches try to accommodate diverse and unconventional cultural expressions, and lose their calling of proclaiming the Reign of God to </w:t>
      </w:r>
      <w:r w:rsidRPr="006F5AE3">
        <w:rPr>
          <w:rFonts w:ascii="Sylfaen" w:hAnsi="Sylfaen"/>
          <w:i/>
          <w:sz w:val="28"/>
          <w:szCs w:val="28"/>
        </w:rPr>
        <w:t>“</w:t>
      </w:r>
      <w:r w:rsidRPr="006F5AE3">
        <w:rPr>
          <w:rFonts w:ascii="Sylfaen" w:hAnsi="Sylfaen"/>
          <w:iCs/>
          <w:sz w:val="28"/>
          <w:szCs w:val="28"/>
        </w:rPr>
        <w:t>Find hope only in the context of a theology of promise</w:t>
      </w:r>
      <w:r w:rsidRPr="006F5AE3">
        <w:rPr>
          <w:rFonts w:ascii="Sylfaen" w:hAnsi="Sylfaen"/>
          <w:sz w:val="28"/>
          <w:szCs w:val="28"/>
        </w:rPr>
        <w:t>” (Anthony C. Thiselton, INTERPRETING GOD AND THE POSTMODERN SELF, p. 117).</w:t>
      </w:r>
    </w:p>
    <w:p w14:paraId="530777DC" w14:textId="77777777" w:rsidR="002251CE" w:rsidRPr="006F5AE3" w:rsidRDefault="002251CE" w:rsidP="002251CE">
      <w:pPr>
        <w:rPr>
          <w:rFonts w:ascii="Sylfaen" w:hAnsi="Sylfaen"/>
          <w:sz w:val="28"/>
          <w:szCs w:val="28"/>
        </w:rPr>
      </w:pPr>
    </w:p>
    <w:p w14:paraId="608E16F3" w14:textId="77777777" w:rsidR="002251CE" w:rsidRPr="006F5AE3" w:rsidRDefault="002251CE" w:rsidP="002251CE">
      <w:pPr>
        <w:jc w:val="center"/>
        <w:rPr>
          <w:rFonts w:ascii="Sylfaen" w:hAnsi="Sylfaen"/>
          <w:sz w:val="28"/>
          <w:szCs w:val="28"/>
        </w:rPr>
      </w:pPr>
      <w:r w:rsidRPr="006F5AE3">
        <w:rPr>
          <w:rFonts w:ascii="Sylfaen" w:hAnsi="Sylfaen"/>
          <w:sz w:val="28"/>
          <w:szCs w:val="28"/>
        </w:rPr>
        <w:t>* * *</w:t>
      </w:r>
    </w:p>
    <w:p w14:paraId="461354EC" w14:textId="77777777" w:rsidR="002251CE" w:rsidRPr="006F5AE3" w:rsidRDefault="002251CE" w:rsidP="002251CE">
      <w:pPr>
        <w:jc w:val="center"/>
        <w:rPr>
          <w:rFonts w:ascii="Sylfaen" w:hAnsi="Sylfaen"/>
          <w:sz w:val="28"/>
          <w:szCs w:val="28"/>
        </w:rPr>
      </w:pPr>
    </w:p>
    <w:p w14:paraId="6EADCA1B" w14:textId="77777777" w:rsidR="002251CE" w:rsidRPr="006F5AE3" w:rsidRDefault="002251CE" w:rsidP="002251CE">
      <w:pPr>
        <w:pStyle w:val="BodyText2"/>
        <w:spacing w:after="0" w:line="240" w:lineRule="auto"/>
        <w:jc w:val="both"/>
        <w:rPr>
          <w:rFonts w:ascii="Sylfaen" w:hAnsi="Sylfaen"/>
          <w:i/>
          <w:sz w:val="28"/>
          <w:szCs w:val="28"/>
        </w:rPr>
      </w:pPr>
      <w:r w:rsidRPr="006F5AE3">
        <w:rPr>
          <w:rFonts w:ascii="Sylfaen" w:hAnsi="Sylfaen"/>
          <w:sz w:val="28"/>
          <w:szCs w:val="28"/>
        </w:rPr>
        <w:t xml:space="preserve">At the end of November 1999, I was in Geneva to participate in the Ecumenical Officers Meeting. It was very interesting to be engaged in a discussion on the understanding and interpretation of proselytism. It is a very clear common sense that all the Churches have to carry the Great Commission entrusted to them by Jesus to evangelize all the people (cf. Matthew 28.19). But this common calling became a controversial issue when different Churches interpreted proselytism from the perspective of their respected theology, history and missiology. The World Council of Churches touched this crucial issue in one of its documents under the heading </w:t>
      </w:r>
      <w:r w:rsidRPr="006F5AE3">
        <w:rPr>
          <w:rFonts w:ascii="Sylfaen" w:hAnsi="Sylfaen"/>
          <w:i/>
          <w:sz w:val="28"/>
          <w:szCs w:val="28"/>
        </w:rPr>
        <w:t>“The Challenge of Proselytism and the Calling to Common Witness”</w:t>
      </w:r>
      <w:r w:rsidRPr="006F5AE3">
        <w:rPr>
          <w:rFonts w:ascii="Sylfaen" w:hAnsi="Sylfaen"/>
          <w:sz w:val="28"/>
          <w:szCs w:val="28"/>
        </w:rPr>
        <w:t xml:space="preserve"> and recommended: </w:t>
      </w:r>
      <w:r w:rsidRPr="006F5AE3">
        <w:rPr>
          <w:rFonts w:ascii="Sylfaen" w:hAnsi="Sylfaen"/>
          <w:iCs/>
          <w:sz w:val="28"/>
          <w:szCs w:val="28"/>
        </w:rPr>
        <w:t>“It is our hope, therefore, that this document will be shared at different levels of church life and reflected on by churches, so that it can contribute towards breaking down mistrust, suspicion, misunderstanding or ignorance of the other, where any of these may exist, as well as encourage persevering effort to seek new ways and means of closer collaboration in evangelizing, according to the different circumstances of time, place and culture”</w:t>
      </w:r>
      <w:r w:rsidRPr="006F5AE3">
        <w:rPr>
          <w:rFonts w:ascii="Sylfaen" w:hAnsi="Sylfaen"/>
          <w:i/>
          <w:sz w:val="28"/>
          <w:szCs w:val="28"/>
        </w:rPr>
        <w:t xml:space="preserve"> </w:t>
      </w:r>
      <w:r w:rsidRPr="006F5AE3">
        <w:rPr>
          <w:rFonts w:ascii="Sylfaen" w:hAnsi="Sylfaen"/>
          <w:sz w:val="28"/>
          <w:szCs w:val="28"/>
        </w:rPr>
        <w:t>(JOINT WORKING GROUP BETWEEN THE ROMAN CATHOLIC CHURCH AND THE WORLD COUNCIL OF CHURCHES, Seventh Report, Geneva-Rome 1998).</w:t>
      </w:r>
      <w:r w:rsidRPr="006F5AE3">
        <w:rPr>
          <w:rFonts w:ascii="Sylfaen" w:hAnsi="Sylfaen"/>
          <w:i/>
          <w:sz w:val="28"/>
          <w:szCs w:val="28"/>
        </w:rPr>
        <w:t xml:space="preserve"> </w:t>
      </w:r>
    </w:p>
    <w:p w14:paraId="1C2F6EFD" w14:textId="77777777" w:rsidR="002251CE" w:rsidRPr="006F5AE3" w:rsidRDefault="002251CE" w:rsidP="002251CE">
      <w:pPr>
        <w:pStyle w:val="BodyText2"/>
        <w:spacing w:after="0" w:line="240" w:lineRule="auto"/>
        <w:rPr>
          <w:rFonts w:ascii="Sylfaen" w:hAnsi="Sylfaen"/>
          <w:i/>
          <w:sz w:val="28"/>
          <w:szCs w:val="28"/>
        </w:rPr>
      </w:pPr>
    </w:p>
    <w:p w14:paraId="62C19914" w14:textId="77777777" w:rsidR="002251CE" w:rsidRPr="006F5AE3" w:rsidRDefault="002251CE" w:rsidP="002251CE">
      <w:pPr>
        <w:pStyle w:val="BodyText2"/>
        <w:spacing w:after="0" w:line="240" w:lineRule="auto"/>
        <w:jc w:val="both"/>
        <w:rPr>
          <w:rFonts w:ascii="Sylfaen" w:hAnsi="Sylfaen"/>
          <w:sz w:val="28"/>
          <w:szCs w:val="28"/>
        </w:rPr>
      </w:pPr>
      <w:r w:rsidRPr="006F5AE3">
        <w:rPr>
          <w:rFonts w:ascii="Sylfaen" w:hAnsi="Sylfaen"/>
          <w:sz w:val="28"/>
          <w:szCs w:val="28"/>
        </w:rPr>
        <w:t xml:space="preserve">I could summarize my own understanding of this debated issue with the following statement: Lack of responsible relationships in mission divides Christians more than doctrinal differences. Proselytism is not only the violation of the boundary of a certain denomination or an attempt to expand into the territory of a given church by another missionary group, it is also the destructive motif of hate, seduction techniques and the negation of sharing human, spiritual and material resources in a toxic atmosphere of competitiveness in our common mission and evangelism. We are in communion and community in the presence </w:t>
      </w:r>
      <w:r w:rsidRPr="006F5AE3">
        <w:rPr>
          <w:rFonts w:ascii="Sylfaen" w:hAnsi="Sylfaen"/>
          <w:sz w:val="28"/>
          <w:szCs w:val="28"/>
        </w:rPr>
        <w:lastRenderedPageBreak/>
        <w:t>of the Holy Spirit, where difference need not mean division but credible practice of collaboration.</w:t>
      </w:r>
    </w:p>
    <w:p w14:paraId="381A84CF" w14:textId="77777777" w:rsidR="002251CE" w:rsidRPr="006F5AE3" w:rsidRDefault="002251CE" w:rsidP="002251CE">
      <w:pPr>
        <w:rPr>
          <w:rFonts w:ascii="Sylfaen" w:hAnsi="Sylfaen"/>
          <w:sz w:val="28"/>
          <w:szCs w:val="28"/>
        </w:rPr>
      </w:pPr>
    </w:p>
    <w:p w14:paraId="6C65CC4B" w14:textId="77777777" w:rsidR="002251CE" w:rsidRPr="006F5AE3" w:rsidRDefault="002251CE" w:rsidP="002251CE">
      <w:pPr>
        <w:jc w:val="center"/>
        <w:rPr>
          <w:rFonts w:ascii="Sylfaen" w:hAnsi="Sylfaen"/>
          <w:sz w:val="28"/>
          <w:szCs w:val="28"/>
        </w:rPr>
      </w:pPr>
      <w:r w:rsidRPr="006F5AE3">
        <w:rPr>
          <w:rFonts w:ascii="Sylfaen" w:hAnsi="Sylfaen"/>
          <w:sz w:val="28"/>
          <w:szCs w:val="28"/>
        </w:rPr>
        <w:t>3. The Communal Framework</w:t>
      </w:r>
    </w:p>
    <w:p w14:paraId="185B43F2" w14:textId="77777777" w:rsidR="002251CE" w:rsidRPr="006F5AE3" w:rsidRDefault="002251CE" w:rsidP="002251CE">
      <w:pPr>
        <w:rPr>
          <w:rFonts w:ascii="Sylfaen" w:hAnsi="Sylfaen"/>
          <w:sz w:val="28"/>
          <w:szCs w:val="28"/>
        </w:rPr>
      </w:pPr>
    </w:p>
    <w:p w14:paraId="004A6792" w14:textId="77777777" w:rsidR="002251CE" w:rsidRPr="006F5AE3" w:rsidRDefault="002251CE" w:rsidP="002251CE">
      <w:pPr>
        <w:jc w:val="both"/>
        <w:rPr>
          <w:rFonts w:ascii="Sylfaen" w:hAnsi="Sylfaen"/>
          <w:sz w:val="28"/>
          <w:szCs w:val="28"/>
        </w:rPr>
      </w:pPr>
      <w:r w:rsidRPr="006F5AE3">
        <w:rPr>
          <w:rFonts w:ascii="Sylfaen" w:hAnsi="Sylfaen"/>
          <w:sz w:val="28"/>
          <w:szCs w:val="28"/>
        </w:rPr>
        <w:t>Concentrating on my daily immediate communal environment of cultural interactions, I could identify two major domains:</w:t>
      </w:r>
    </w:p>
    <w:p w14:paraId="4173F88C" w14:textId="77777777" w:rsidR="002251CE" w:rsidRPr="006F5AE3" w:rsidRDefault="002251CE" w:rsidP="002251CE">
      <w:pPr>
        <w:rPr>
          <w:rFonts w:ascii="Sylfaen" w:hAnsi="Sylfaen"/>
          <w:iCs/>
          <w:sz w:val="28"/>
          <w:szCs w:val="28"/>
        </w:rPr>
      </w:pPr>
    </w:p>
    <w:p w14:paraId="1912E8A8" w14:textId="77777777" w:rsidR="002251CE" w:rsidRPr="006F5AE3" w:rsidRDefault="002251CE" w:rsidP="002251CE">
      <w:pPr>
        <w:rPr>
          <w:rFonts w:ascii="Sylfaen" w:hAnsi="Sylfaen"/>
          <w:iCs/>
          <w:sz w:val="28"/>
          <w:szCs w:val="28"/>
        </w:rPr>
      </w:pPr>
      <w:r w:rsidRPr="006F5AE3">
        <w:rPr>
          <w:rFonts w:ascii="Sylfaen" w:hAnsi="Sylfaen"/>
          <w:iCs/>
          <w:sz w:val="28"/>
          <w:szCs w:val="28"/>
        </w:rPr>
        <w:t>1. Seminary formation</w:t>
      </w:r>
    </w:p>
    <w:p w14:paraId="05743613"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I had the unique experience of being educated in the Armenian Theological Seminary of Lebanon in an atmosphere of prayer and discipline at an early age of eleven years old. I fully agree with Martin E. Marty when he identifies location as the first venue of culture answering to the question </w:t>
      </w:r>
      <w:r w:rsidRPr="006F5AE3">
        <w:rPr>
          <w:rFonts w:ascii="Sylfaen" w:hAnsi="Sylfaen"/>
          <w:i/>
          <w:sz w:val="28"/>
          <w:szCs w:val="28"/>
        </w:rPr>
        <w:t>“</w:t>
      </w:r>
      <w:r w:rsidRPr="006F5AE3">
        <w:rPr>
          <w:rFonts w:ascii="Sylfaen" w:hAnsi="Sylfaen"/>
          <w:iCs/>
          <w:sz w:val="28"/>
          <w:szCs w:val="28"/>
        </w:rPr>
        <w:t>How do these cultures come about?”</w:t>
      </w:r>
      <w:r w:rsidRPr="006F5AE3">
        <w:rPr>
          <w:rFonts w:ascii="Sylfaen" w:hAnsi="Sylfaen"/>
          <w:i/>
          <w:sz w:val="28"/>
          <w:szCs w:val="28"/>
        </w:rPr>
        <w:t xml:space="preserve"> </w:t>
      </w:r>
      <w:r w:rsidRPr="006F5AE3">
        <w:rPr>
          <w:rFonts w:ascii="Sylfaen" w:hAnsi="Sylfaen"/>
          <w:sz w:val="28"/>
          <w:szCs w:val="28"/>
        </w:rPr>
        <w:t xml:space="preserve">(See </w:t>
      </w:r>
      <w:r w:rsidRPr="006F5AE3">
        <w:rPr>
          <w:rFonts w:ascii="Sylfaen" w:hAnsi="Sylfaen"/>
          <w:i/>
          <w:sz w:val="28"/>
          <w:szCs w:val="28"/>
        </w:rPr>
        <w:t xml:space="preserve">“The Congregation as a Culture,” </w:t>
      </w:r>
      <w:r w:rsidRPr="006F5AE3">
        <w:rPr>
          <w:rFonts w:ascii="Sylfaen" w:hAnsi="Sylfaen"/>
          <w:sz w:val="28"/>
          <w:szCs w:val="28"/>
        </w:rPr>
        <w:t>The Christian Ministry, January–February 1991, p. 18).</w:t>
      </w:r>
    </w:p>
    <w:p w14:paraId="564B1D7D" w14:textId="77777777" w:rsidR="002251CE" w:rsidRPr="006F5AE3" w:rsidRDefault="002251CE" w:rsidP="002251CE">
      <w:pPr>
        <w:rPr>
          <w:rFonts w:ascii="Sylfaen" w:hAnsi="Sylfaen"/>
          <w:sz w:val="28"/>
          <w:szCs w:val="28"/>
        </w:rPr>
      </w:pPr>
    </w:p>
    <w:p w14:paraId="1AB73328"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Seminary was a totally new environment for me to mature physically, mentally, and spiritually. As a communal setting it placed me –alongside with the </w:t>
      </w:r>
      <w:r w:rsidRPr="006F5AE3">
        <w:rPr>
          <w:rFonts w:ascii="Sylfaen" w:hAnsi="Sylfaen"/>
          <w:i/>
          <w:sz w:val="28"/>
          <w:szCs w:val="28"/>
        </w:rPr>
        <w:t>other</w:t>
      </w:r>
      <w:r w:rsidRPr="006F5AE3">
        <w:rPr>
          <w:rFonts w:ascii="Sylfaen" w:hAnsi="Sylfaen"/>
          <w:sz w:val="28"/>
          <w:szCs w:val="28"/>
        </w:rPr>
        <w:t xml:space="preserve"> seminarians– in a growing intercommunication with my neighbors, enlightened me to be sensitive to my community and appreciate the gift of shared goodness granted to all by God. This equilibrium between individual and communal needs made my intentions intermingle in a common calling of serving God through the Armenian Church.</w:t>
      </w:r>
    </w:p>
    <w:p w14:paraId="01324AD8" w14:textId="77777777" w:rsidR="002251CE" w:rsidRPr="006F5AE3" w:rsidRDefault="002251CE" w:rsidP="002251CE">
      <w:pPr>
        <w:rPr>
          <w:rFonts w:ascii="Sylfaen" w:hAnsi="Sylfaen"/>
          <w:sz w:val="28"/>
          <w:szCs w:val="28"/>
        </w:rPr>
      </w:pPr>
    </w:p>
    <w:p w14:paraId="016DF49F"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Borrowing the words of Anthony C. Thiselton that </w:t>
      </w:r>
      <w:r w:rsidRPr="006F5AE3">
        <w:rPr>
          <w:rFonts w:ascii="Sylfaen" w:hAnsi="Sylfaen"/>
          <w:iCs/>
          <w:sz w:val="28"/>
          <w:szCs w:val="28"/>
        </w:rPr>
        <w:t>“Respect for the other as ‘Other’, as a unique agent or active personal subject, stands as the heart of the Christian gospel”</w:t>
      </w:r>
      <w:r w:rsidRPr="006F5AE3">
        <w:rPr>
          <w:rFonts w:ascii="Sylfaen" w:hAnsi="Sylfaen"/>
          <w:i/>
          <w:sz w:val="28"/>
          <w:szCs w:val="28"/>
        </w:rPr>
        <w:t xml:space="preserve"> </w:t>
      </w:r>
      <w:r w:rsidRPr="006F5AE3">
        <w:rPr>
          <w:rFonts w:ascii="Sylfaen" w:hAnsi="Sylfaen"/>
          <w:sz w:val="28"/>
          <w:szCs w:val="28"/>
        </w:rPr>
        <w:t xml:space="preserve">(INTERPRETING GOD AND THE POSTMODERN SELF, p. 13) and reflecting on Moltmann’s words, that “Personhood is always being-in-relationship” (Ibid., p. 129), I discovered my vocation in the Seminary and my identity –“Who am I?” – emerged </w:t>
      </w:r>
      <w:r w:rsidRPr="006F5AE3">
        <w:rPr>
          <w:rFonts w:ascii="Sylfaen" w:hAnsi="Sylfaen"/>
          <w:iCs/>
          <w:sz w:val="28"/>
          <w:szCs w:val="28"/>
        </w:rPr>
        <w:t>“in terms of God’s larger purposes and promises for the world, for society, for the church and for us”</w:t>
      </w:r>
      <w:r w:rsidRPr="006F5AE3">
        <w:rPr>
          <w:rFonts w:ascii="Sylfaen" w:hAnsi="Sylfaen"/>
          <w:i/>
          <w:sz w:val="28"/>
          <w:szCs w:val="28"/>
        </w:rPr>
        <w:t xml:space="preserve"> </w:t>
      </w:r>
      <w:r w:rsidRPr="006F5AE3">
        <w:rPr>
          <w:rFonts w:ascii="Sylfaen" w:hAnsi="Sylfaen"/>
          <w:sz w:val="28"/>
          <w:szCs w:val="28"/>
        </w:rPr>
        <w:t>(Ibid., p. 151).</w:t>
      </w:r>
    </w:p>
    <w:p w14:paraId="724E3B6C" w14:textId="77777777" w:rsidR="002251CE" w:rsidRPr="006F5AE3" w:rsidRDefault="002251CE" w:rsidP="002251CE">
      <w:pPr>
        <w:rPr>
          <w:rFonts w:ascii="Sylfaen" w:hAnsi="Sylfaen"/>
          <w:sz w:val="28"/>
          <w:szCs w:val="28"/>
        </w:rPr>
      </w:pPr>
    </w:p>
    <w:p w14:paraId="3E4A8466" w14:textId="77777777" w:rsidR="002251CE" w:rsidRPr="006F5AE3" w:rsidRDefault="002251CE" w:rsidP="002251CE">
      <w:pPr>
        <w:rPr>
          <w:rFonts w:ascii="Sylfaen" w:hAnsi="Sylfaen"/>
          <w:i/>
          <w:sz w:val="28"/>
          <w:szCs w:val="28"/>
        </w:rPr>
      </w:pPr>
      <w:r w:rsidRPr="006F5AE3">
        <w:rPr>
          <w:rFonts w:ascii="Sylfaen" w:hAnsi="Sylfaen"/>
          <w:iCs/>
          <w:sz w:val="28"/>
          <w:szCs w:val="28"/>
        </w:rPr>
        <w:t>2.</w:t>
      </w:r>
      <w:r w:rsidRPr="006F5AE3">
        <w:rPr>
          <w:rFonts w:ascii="Sylfaen" w:hAnsi="Sylfaen"/>
          <w:i/>
          <w:sz w:val="28"/>
          <w:szCs w:val="28"/>
        </w:rPr>
        <w:t xml:space="preserve"> “Feed my lambs ... Tend my sheep ... Feed my sheep” (John 21.15, 16, 17)</w:t>
      </w:r>
    </w:p>
    <w:p w14:paraId="4BC60642"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It is impossible to reflect on my entire priestly ministry in these short pages. But the one important aspect of it is my </w:t>
      </w:r>
      <w:r w:rsidRPr="006F5AE3">
        <w:rPr>
          <w:rFonts w:ascii="Sylfaen" w:hAnsi="Sylfaen"/>
          <w:i/>
          <w:sz w:val="28"/>
          <w:szCs w:val="28"/>
        </w:rPr>
        <w:t xml:space="preserve">faith in God and the experience of God in </w:t>
      </w:r>
      <w:r w:rsidRPr="006F5AE3">
        <w:rPr>
          <w:rFonts w:ascii="Sylfaen" w:hAnsi="Sylfaen"/>
          <w:i/>
          <w:sz w:val="28"/>
          <w:szCs w:val="28"/>
        </w:rPr>
        <w:lastRenderedPageBreak/>
        <w:t>the liturgical and sacramental life of my Church</w:t>
      </w:r>
      <w:r w:rsidRPr="006F5AE3">
        <w:rPr>
          <w:rFonts w:ascii="Sylfaen" w:hAnsi="Sylfaen"/>
          <w:sz w:val="28"/>
          <w:szCs w:val="28"/>
        </w:rPr>
        <w:t xml:space="preserve">. This faith goes beyond my personal convictions and becomes a communal faith in the richness and distinctiveness of daily service, holy liturgy, sacraments, feasts and traditions of my church as a real cultural manifestation of events and designs under the graceful guidance of the Holy Spirit as referred to by Martin E. Marty in </w:t>
      </w:r>
      <w:r w:rsidRPr="006F5AE3">
        <w:rPr>
          <w:rFonts w:ascii="Sylfaen" w:hAnsi="Sylfaen"/>
          <w:i/>
          <w:sz w:val="28"/>
          <w:szCs w:val="28"/>
        </w:rPr>
        <w:t xml:space="preserve">“The Congregation as a Culture” </w:t>
      </w:r>
      <w:r w:rsidRPr="006F5AE3">
        <w:rPr>
          <w:rFonts w:ascii="Sylfaen" w:hAnsi="Sylfaen"/>
          <w:sz w:val="28"/>
          <w:szCs w:val="28"/>
        </w:rPr>
        <w:t>in The Christian Ministry, January–February 1991, p. 18.</w:t>
      </w:r>
    </w:p>
    <w:p w14:paraId="06EAFD94" w14:textId="77777777" w:rsidR="002251CE" w:rsidRPr="006F5AE3" w:rsidRDefault="002251CE" w:rsidP="002251CE">
      <w:pPr>
        <w:rPr>
          <w:rFonts w:ascii="Sylfaen" w:hAnsi="Sylfaen"/>
          <w:sz w:val="28"/>
          <w:szCs w:val="28"/>
        </w:rPr>
      </w:pPr>
    </w:p>
    <w:p w14:paraId="000EC3F4" w14:textId="77777777" w:rsidR="002251CE" w:rsidRPr="006F5AE3" w:rsidRDefault="002251CE" w:rsidP="002251CE">
      <w:pPr>
        <w:jc w:val="center"/>
        <w:rPr>
          <w:rFonts w:ascii="Sylfaen" w:hAnsi="Sylfaen"/>
          <w:sz w:val="28"/>
          <w:szCs w:val="28"/>
        </w:rPr>
      </w:pPr>
      <w:r w:rsidRPr="006F5AE3">
        <w:rPr>
          <w:rFonts w:ascii="Sylfaen" w:hAnsi="Sylfaen"/>
          <w:sz w:val="28"/>
          <w:szCs w:val="28"/>
        </w:rPr>
        <w:t>* * *</w:t>
      </w:r>
    </w:p>
    <w:p w14:paraId="5180090F" w14:textId="77777777" w:rsidR="002251CE" w:rsidRPr="006F5AE3" w:rsidRDefault="002251CE" w:rsidP="002251CE">
      <w:pPr>
        <w:rPr>
          <w:rFonts w:ascii="Sylfaen" w:hAnsi="Sylfaen"/>
          <w:sz w:val="28"/>
          <w:szCs w:val="28"/>
        </w:rPr>
      </w:pPr>
    </w:p>
    <w:p w14:paraId="37E85EBD" w14:textId="77777777" w:rsidR="002251CE" w:rsidRPr="006F5AE3" w:rsidRDefault="002251CE" w:rsidP="002251CE">
      <w:pPr>
        <w:jc w:val="both"/>
        <w:rPr>
          <w:rFonts w:ascii="Sylfaen" w:hAnsi="Sylfaen"/>
          <w:sz w:val="28"/>
          <w:szCs w:val="28"/>
        </w:rPr>
      </w:pPr>
      <w:r w:rsidRPr="006F5AE3">
        <w:rPr>
          <w:rFonts w:ascii="Sylfaen" w:hAnsi="Sylfaen"/>
          <w:sz w:val="28"/>
          <w:szCs w:val="28"/>
        </w:rPr>
        <w:t xml:space="preserve">The practice of infant baptism in my church is an ideal common sense of the communal nature of Christian faith in God. When this practice is taken as a magical Christian transformation is condemned and rejected. But if we put it in the right perspective of the life-long commitment and responsibility of the parents, godparents and the entire congregation in the Christian education and maturity of the infant, we can appreciate its rootedness in the Holy Bible and the history of the Church, and its implication as an expression of genuine fellowship, mutual love and sacred calling of proclamation of the Reign of God in line with Apostle Peter’s invitation extended to us: </w:t>
      </w:r>
      <w:r w:rsidRPr="006F5AE3">
        <w:rPr>
          <w:rFonts w:ascii="Sylfaen" w:hAnsi="Sylfaen"/>
          <w:i/>
          <w:sz w:val="28"/>
          <w:szCs w:val="28"/>
        </w:rPr>
        <w:t xml:space="preserve">“Repent and be baptized, every one of you, in the name of Jesus Christ for the forgiveness of your sins. And you will receive the gift of the Holy Spirit. The promise is for you and your children and for all who are far off </w:t>
      </w:r>
      <w:r w:rsidRPr="006F5AE3">
        <w:rPr>
          <w:rFonts w:ascii="Sylfaen" w:hAnsi="Sylfaen"/>
          <w:i/>
          <w:iCs/>
          <w:sz w:val="28"/>
          <w:szCs w:val="28"/>
        </w:rPr>
        <w:t>–</w:t>
      </w:r>
      <w:r w:rsidRPr="006F5AE3">
        <w:rPr>
          <w:rFonts w:ascii="Sylfaen" w:hAnsi="Sylfaen"/>
          <w:i/>
          <w:sz w:val="28"/>
          <w:szCs w:val="28"/>
        </w:rPr>
        <w:t xml:space="preserve"> for all whom the Lord our God will call”</w:t>
      </w:r>
      <w:r w:rsidRPr="006F5AE3">
        <w:rPr>
          <w:rFonts w:ascii="Sylfaen" w:hAnsi="Sylfaen"/>
          <w:sz w:val="28"/>
          <w:szCs w:val="28"/>
        </w:rPr>
        <w:t xml:space="preserve"> (Acts 2.38–39).</w:t>
      </w:r>
    </w:p>
    <w:p w14:paraId="68875B6A" w14:textId="77777777" w:rsidR="002251CE" w:rsidRPr="006F5AE3" w:rsidRDefault="002251CE" w:rsidP="002251CE">
      <w:pPr>
        <w:rPr>
          <w:rFonts w:ascii="Sylfaen" w:hAnsi="Sylfaen"/>
          <w:sz w:val="28"/>
          <w:szCs w:val="28"/>
        </w:rPr>
      </w:pPr>
    </w:p>
    <w:p w14:paraId="2BCADAC9" w14:textId="77777777" w:rsidR="002251CE" w:rsidRPr="006F5AE3" w:rsidRDefault="002251CE" w:rsidP="002251CE">
      <w:pPr>
        <w:jc w:val="center"/>
        <w:rPr>
          <w:rFonts w:ascii="Sylfaen" w:hAnsi="Sylfaen"/>
          <w:sz w:val="28"/>
          <w:szCs w:val="28"/>
        </w:rPr>
      </w:pPr>
      <w:r w:rsidRPr="006F5AE3">
        <w:rPr>
          <w:rFonts w:ascii="Sylfaen" w:hAnsi="Sylfaen"/>
          <w:sz w:val="28"/>
          <w:szCs w:val="28"/>
        </w:rPr>
        <w:t>* * *</w:t>
      </w:r>
    </w:p>
    <w:p w14:paraId="20380C5D" w14:textId="77777777" w:rsidR="002251CE" w:rsidRPr="006F5AE3" w:rsidRDefault="002251CE" w:rsidP="002251CE">
      <w:pPr>
        <w:rPr>
          <w:rFonts w:ascii="Sylfaen" w:hAnsi="Sylfaen"/>
          <w:sz w:val="28"/>
          <w:szCs w:val="28"/>
        </w:rPr>
      </w:pPr>
    </w:p>
    <w:p w14:paraId="213F203B" w14:textId="77777777" w:rsidR="002251CE" w:rsidRPr="006F5AE3" w:rsidRDefault="002251CE" w:rsidP="002251CE">
      <w:pPr>
        <w:jc w:val="both"/>
        <w:rPr>
          <w:rFonts w:ascii="Sylfaen" w:hAnsi="Sylfaen"/>
          <w:sz w:val="28"/>
          <w:szCs w:val="28"/>
        </w:rPr>
      </w:pPr>
      <w:r w:rsidRPr="006F5AE3">
        <w:rPr>
          <w:rFonts w:ascii="Sylfaen" w:hAnsi="Sylfaen"/>
          <w:sz w:val="28"/>
          <w:szCs w:val="28"/>
        </w:rPr>
        <w:t>I would like to conclude my reflections on culture and common sense with a story that had a profound impact on me and gave a new meaning to the Thanksgiving Day.</w:t>
      </w:r>
    </w:p>
    <w:p w14:paraId="0DC4461D" w14:textId="77777777" w:rsidR="002251CE" w:rsidRPr="006F5AE3" w:rsidRDefault="002251CE" w:rsidP="002251CE">
      <w:pPr>
        <w:rPr>
          <w:rFonts w:ascii="Sylfaen" w:hAnsi="Sylfaen"/>
          <w:sz w:val="28"/>
          <w:szCs w:val="28"/>
        </w:rPr>
      </w:pPr>
    </w:p>
    <w:p w14:paraId="3DC26F5F" w14:textId="77777777" w:rsidR="002251CE" w:rsidRPr="006F5AE3" w:rsidRDefault="002251CE" w:rsidP="002251CE">
      <w:pPr>
        <w:jc w:val="both"/>
        <w:rPr>
          <w:rFonts w:ascii="Sylfaen" w:hAnsi="Sylfaen"/>
          <w:sz w:val="28"/>
          <w:szCs w:val="28"/>
        </w:rPr>
      </w:pPr>
      <w:r w:rsidRPr="006F5AE3">
        <w:rPr>
          <w:rFonts w:ascii="Sylfaen" w:hAnsi="Sylfaen"/>
          <w:sz w:val="28"/>
          <w:szCs w:val="28"/>
        </w:rPr>
        <w:t>On November 25, 1999, on my way to Montreal, Canada, I stopped in Philadelphia, Pennsylvania, to join friends for Thanksgiving traditional dinner. I was looking forward to meet my godson, David. I got upset when I found that David’s father, Jack, was sick and their family will not be able to come from New Jersey to celebrate Thanksgiving with us.</w:t>
      </w:r>
    </w:p>
    <w:p w14:paraId="67376920" w14:textId="77777777" w:rsidR="002251CE" w:rsidRPr="006F5AE3" w:rsidRDefault="002251CE" w:rsidP="002251CE">
      <w:pPr>
        <w:rPr>
          <w:rFonts w:ascii="Sylfaen" w:hAnsi="Sylfaen"/>
          <w:sz w:val="28"/>
          <w:szCs w:val="28"/>
        </w:rPr>
      </w:pPr>
    </w:p>
    <w:p w14:paraId="53C8D3C1" w14:textId="77777777" w:rsidR="002251CE" w:rsidRPr="006F5AE3" w:rsidRDefault="002251CE" w:rsidP="002251CE">
      <w:pPr>
        <w:jc w:val="both"/>
        <w:rPr>
          <w:rFonts w:ascii="Sylfaen" w:hAnsi="Sylfaen"/>
          <w:sz w:val="28"/>
          <w:szCs w:val="28"/>
        </w:rPr>
      </w:pPr>
      <w:r w:rsidRPr="006F5AE3">
        <w:rPr>
          <w:rFonts w:ascii="Sylfaen" w:hAnsi="Sylfaen"/>
          <w:sz w:val="28"/>
          <w:szCs w:val="28"/>
        </w:rPr>
        <w:lastRenderedPageBreak/>
        <w:t>I met Jack and his wife, Linda, seven years ago rather in an odd circumstance when I was the pastor of the Armenian Orthodox Church in New Jersey. Linda had just delivered her first baby, David, and the doctors told the happy parents that David is diagnosed by meningitis and his chances of survival are very slim. Jack had called his priest relative in Massachusetts, to come to New Jersey and baptize David in the hospital. Jack and Linda firmly believed that David would recover after baptism. The priest, who happened to be my friend, came to my parish house and asked me to join his wife and him to go to the hospital and baptize David. It was a very moving sacrament he administered with a couple of drops of distilled water. I acted as David’s godfather and priest’s wife as David’s godmother. Surely David fully recovered and later when we took him to the neurologist for a check-up, the doctor assured us that he is healthy and meningitis is no more in his system.</w:t>
      </w:r>
    </w:p>
    <w:p w14:paraId="5A7078DD" w14:textId="77777777" w:rsidR="002251CE" w:rsidRPr="006F5AE3" w:rsidRDefault="002251CE" w:rsidP="002251CE">
      <w:pPr>
        <w:jc w:val="both"/>
        <w:rPr>
          <w:rFonts w:ascii="Sylfaen" w:hAnsi="Sylfaen"/>
          <w:sz w:val="28"/>
          <w:szCs w:val="28"/>
        </w:rPr>
      </w:pPr>
      <w:r w:rsidRPr="006F5AE3">
        <w:rPr>
          <w:rFonts w:ascii="Sylfaen" w:hAnsi="Sylfaen"/>
          <w:sz w:val="28"/>
          <w:szCs w:val="28"/>
        </w:rPr>
        <w:t>The family grew with the addition of three more children. Two years ago, David and his brother, Armand, were just enrolled at the Sunday School of their local parish when I moved to Lebanon. During the last two years I only had the opportunity of visiting them twice, but I never had the time of exploring David’s spiritual world.</w:t>
      </w:r>
    </w:p>
    <w:p w14:paraId="27D9A9C0" w14:textId="77777777" w:rsidR="002251CE" w:rsidRPr="006F5AE3" w:rsidRDefault="002251CE" w:rsidP="002251CE">
      <w:pPr>
        <w:rPr>
          <w:rFonts w:ascii="Sylfaen" w:hAnsi="Sylfaen"/>
          <w:sz w:val="28"/>
          <w:szCs w:val="28"/>
        </w:rPr>
      </w:pPr>
    </w:p>
    <w:p w14:paraId="64520111" w14:textId="77777777" w:rsidR="002251CE" w:rsidRPr="006F5AE3" w:rsidRDefault="002251CE" w:rsidP="002251CE">
      <w:pPr>
        <w:jc w:val="both"/>
        <w:rPr>
          <w:rFonts w:ascii="Sylfaen" w:hAnsi="Sylfaen"/>
          <w:sz w:val="28"/>
          <w:szCs w:val="28"/>
        </w:rPr>
      </w:pPr>
      <w:r w:rsidRPr="006F5AE3">
        <w:rPr>
          <w:rFonts w:ascii="Sylfaen" w:hAnsi="Sylfaen"/>
          <w:sz w:val="28"/>
          <w:szCs w:val="28"/>
        </w:rPr>
        <w:t>Over Thanksgiving dinner, when I asked David’s grandmother about him, she told me this story that made me to be thankful to God for the blessing of David’s presence in my life.</w:t>
      </w:r>
    </w:p>
    <w:p w14:paraId="38FFCC9B" w14:textId="77777777" w:rsidR="002251CE" w:rsidRPr="006F5AE3" w:rsidRDefault="002251CE" w:rsidP="002251CE">
      <w:pPr>
        <w:rPr>
          <w:rFonts w:ascii="Sylfaen" w:hAnsi="Sylfaen"/>
          <w:sz w:val="28"/>
          <w:szCs w:val="28"/>
        </w:rPr>
      </w:pPr>
    </w:p>
    <w:p w14:paraId="48593192" w14:textId="77777777" w:rsidR="002251CE" w:rsidRPr="006F5AE3" w:rsidRDefault="002251CE" w:rsidP="002251CE">
      <w:pPr>
        <w:jc w:val="both"/>
        <w:rPr>
          <w:rFonts w:ascii="Sylfaen" w:hAnsi="Sylfaen"/>
          <w:sz w:val="28"/>
          <w:szCs w:val="28"/>
        </w:rPr>
      </w:pPr>
      <w:r w:rsidRPr="006F5AE3">
        <w:rPr>
          <w:rFonts w:ascii="Sylfaen" w:hAnsi="Sylfaen"/>
          <w:sz w:val="28"/>
          <w:szCs w:val="28"/>
        </w:rPr>
        <w:t>When the family knew that they would not be able to be in Philadelphia for Thanksgiving, they invited the immediate members of their family to their house for a Thanksgiving dinner on Sunday, November 21, 1999. Last year Jack had prayed and asked David to conclude the prayer. David was very shy and he only said “Amen.” This year Jack told David again to conclude the prayer that he had just offered and seven years old David prayed: “Dear God, we thank you for the Bible, so we can know you better.”</w:t>
      </w:r>
    </w:p>
    <w:p w14:paraId="20CF9106" w14:textId="77777777" w:rsidR="002251CE" w:rsidRPr="006F5AE3" w:rsidRDefault="002251CE" w:rsidP="002251CE">
      <w:pPr>
        <w:rPr>
          <w:rFonts w:ascii="Sylfaen" w:hAnsi="Sylfaen"/>
          <w:sz w:val="28"/>
          <w:szCs w:val="28"/>
        </w:rPr>
      </w:pPr>
    </w:p>
    <w:p w14:paraId="55FB44A2" w14:textId="77777777" w:rsidR="002251CE" w:rsidRPr="006F5AE3" w:rsidRDefault="002251CE" w:rsidP="002251CE">
      <w:pPr>
        <w:jc w:val="both"/>
        <w:rPr>
          <w:rFonts w:ascii="Sylfaen" w:hAnsi="Sylfaen"/>
          <w:sz w:val="28"/>
          <w:szCs w:val="28"/>
        </w:rPr>
      </w:pPr>
      <w:r w:rsidRPr="006F5AE3">
        <w:rPr>
          <w:rFonts w:ascii="Sylfaen" w:hAnsi="Sylfaen"/>
          <w:sz w:val="28"/>
          <w:szCs w:val="28"/>
        </w:rPr>
        <w:t>This prayer of David was the timeliest theological affirmation for my three ecumenical meetings extended between November 18 to December 11. David made my 1999 Thanksgiving a special and memorable day with the living and transforming presence of God.</w:t>
      </w:r>
    </w:p>
    <w:p w14:paraId="3933E3BC" w14:textId="77777777" w:rsidR="002251CE" w:rsidRPr="006F5AE3" w:rsidRDefault="002251CE" w:rsidP="002251CE">
      <w:pPr>
        <w:jc w:val="both"/>
        <w:rPr>
          <w:rFonts w:ascii="Sylfaen" w:hAnsi="Sylfaen"/>
          <w:sz w:val="28"/>
          <w:szCs w:val="28"/>
        </w:rPr>
      </w:pPr>
      <w:r w:rsidRPr="006F5AE3">
        <w:rPr>
          <w:rFonts w:ascii="Sylfaen" w:hAnsi="Sylfaen"/>
          <w:sz w:val="28"/>
          <w:szCs w:val="28"/>
        </w:rPr>
        <w:lastRenderedPageBreak/>
        <w:t xml:space="preserve">To know God better through His holy book and to serve Him better in the communal life of His body, the church, was the simple yet very meaningful message of God illuminating my path for the next millennium. </w:t>
      </w:r>
    </w:p>
    <w:p w14:paraId="16B46769" w14:textId="77777777" w:rsidR="002251CE" w:rsidRPr="006F5AE3" w:rsidRDefault="002251CE" w:rsidP="002251CE">
      <w:pPr>
        <w:rPr>
          <w:rFonts w:ascii="Sylfaen" w:hAnsi="Sylfaen"/>
          <w:sz w:val="28"/>
          <w:szCs w:val="28"/>
        </w:rPr>
      </w:pPr>
    </w:p>
    <w:p w14:paraId="21EFDEE5" w14:textId="77777777" w:rsidR="002251CE" w:rsidRPr="006F5AE3" w:rsidRDefault="002251CE" w:rsidP="002251CE">
      <w:pPr>
        <w:rPr>
          <w:rFonts w:ascii="Sylfaen" w:hAnsi="Sylfaen"/>
          <w:sz w:val="28"/>
          <w:szCs w:val="28"/>
        </w:rPr>
      </w:pPr>
      <w:r w:rsidRPr="006F5AE3">
        <w:rPr>
          <w:rFonts w:ascii="Sylfaen" w:hAnsi="Sylfaen"/>
          <w:sz w:val="28"/>
          <w:szCs w:val="28"/>
        </w:rPr>
        <w:t xml:space="preserve">Nareg Alemezian </w:t>
      </w:r>
    </w:p>
    <w:p w14:paraId="0A46B011" w14:textId="77777777" w:rsidR="002251CE" w:rsidRPr="00817BB2" w:rsidRDefault="002251CE" w:rsidP="002251CE">
      <w:pPr>
        <w:rPr>
          <w:rFonts w:ascii="Sylfaen" w:hAnsi="Sylfaen"/>
          <w:sz w:val="28"/>
          <w:szCs w:val="28"/>
        </w:rPr>
      </w:pPr>
      <w:r w:rsidRPr="006F5AE3">
        <w:rPr>
          <w:rFonts w:ascii="Sylfaen" w:hAnsi="Sylfaen"/>
          <w:sz w:val="28"/>
          <w:szCs w:val="28"/>
        </w:rPr>
        <w:t xml:space="preserve">2000 </w:t>
      </w:r>
    </w:p>
    <w:p w14:paraId="54DD2A7B" w14:textId="77777777" w:rsidR="002251CE" w:rsidRPr="00817BB2" w:rsidRDefault="002251CE" w:rsidP="002251CE">
      <w:pPr>
        <w:rPr>
          <w:rFonts w:ascii="Sylfaen" w:hAnsi="Sylfaen"/>
          <w:sz w:val="28"/>
          <w:szCs w:val="28"/>
        </w:rPr>
      </w:pPr>
    </w:p>
    <w:p w14:paraId="43B39443" w14:textId="77777777" w:rsidR="002251CE" w:rsidRPr="00817BB2" w:rsidRDefault="002251CE" w:rsidP="002251CE">
      <w:pPr>
        <w:rPr>
          <w:rFonts w:ascii="Sylfaen" w:hAnsi="Sylfaen"/>
          <w:sz w:val="28"/>
          <w:szCs w:val="28"/>
        </w:rPr>
      </w:pPr>
    </w:p>
    <w:p w14:paraId="5B4BB78A" w14:textId="77777777" w:rsidR="002251CE" w:rsidRPr="00817BB2" w:rsidRDefault="002251CE" w:rsidP="002251CE">
      <w:pPr>
        <w:rPr>
          <w:rFonts w:ascii="Sylfaen" w:hAnsi="Sylfaen"/>
          <w:sz w:val="28"/>
          <w:szCs w:val="28"/>
        </w:rPr>
      </w:pPr>
    </w:p>
    <w:p w14:paraId="74D324C3" w14:textId="77777777" w:rsidR="007D7895" w:rsidRPr="00817BB2" w:rsidRDefault="007D7895">
      <w:pPr>
        <w:rPr>
          <w:sz w:val="28"/>
          <w:szCs w:val="28"/>
        </w:rPr>
      </w:pPr>
    </w:p>
    <w:sectPr w:rsidR="007D7895" w:rsidRPr="00817BB2">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018497" w14:textId="77777777" w:rsidR="00E53DB1" w:rsidRDefault="00E53DB1" w:rsidP="002251CE">
      <w:r>
        <w:separator/>
      </w:r>
    </w:p>
  </w:endnote>
  <w:endnote w:type="continuationSeparator" w:id="0">
    <w:p w14:paraId="4EA94CE8" w14:textId="77777777" w:rsidR="00E53DB1" w:rsidRDefault="00E53DB1" w:rsidP="00225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2941576"/>
      <w:docPartObj>
        <w:docPartGallery w:val="Page Numbers (Bottom of Page)"/>
        <w:docPartUnique/>
      </w:docPartObj>
    </w:sdtPr>
    <w:sdtContent>
      <w:p w14:paraId="273369D2" w14:textId="208D866C" w:rsidR="002251CE" w:rsidRDefault="002251C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2D597F6" w14:textId="77777777" w:rsidR="002251CE" w:rsidRDefault="002251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7397739"/>
      <w:docPartObj>
        <w:docPartGallery w:val="Page Numbers (Bottom of Page)"/>
        <w:docPartUnique/>
      </w:docPartObj>
    </w:sdtPr>
    <w:sdtContent>
      <w:p w14:paraId="08C87134" w14:textId="3DA13674" w:rsidR="002251CE" w:rsidRDefault="002251CE"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5</w:t>
        </w:r>
        <w:r>
          <w:rPr>
            <w:rStyle w:val="PageNumber"/>
          </w:rPr>
          <w:fldChar w:fldCharType="end"/>
        </w:r>
      </w:p>
    </w:sdtContent>
  </w:sdt>
  <w:p w14:paraId="737FCC2B" w14:textId="77777777" w:rsidR="002251CE" w:rsidRDefault="002251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FA5EE2" w14:textId="77777777" w:rsidR="00E53DB1" w:rsidRDefault="00E53DB1" w:rsidP="002251CE">
      <w:r>
        <w:separator/>
      </w:r>
    </w:p>
  </w:footnote>
  <w:footnote w:type="continuationSeparator" w:id="0">
    <w:p w14:paraId="51977254" w14:textId="77777777" w:rsidR="00E53DB1" w:rsidRDefault="00E53DB1" w:rsidP="002251CE">
      <w:r>
        <w:continuationSeparator/>
      </w:r>
    </w:p>
  </w:footnote>
  <w:footnote w:id="1">
    <w:p w14:paraId="7924C2CF" w14:textId="7541B694" w:rsidR="003D13A6" w:rsidRPr="003D13A6" w:rsidRDefault="003D13A6" w:rsidP="003D13A6">
      <w:pPr>
        <w:pStyle w:val="FootnoteText"/>
        <w:jc w:val="both"/>
        <w:rPr>
          <w:rFonts w:ascii="Sylfaen" w:hAnsi="Sylfaen"/>
          <w:lang w:val="en-US"/>
        </w:rPr>
      </w:pPr>
      <w:r w:rsidRPr="003D13A6">
        <w:rPr>
          <w:rStyle w:val="FootnoteReference"/>
          <w:rFonts w:ascii="Sylfaen" w:hAnsi="Sylfaen"/>
        </w:rPr>
        <w:footnoteRef/>
      </w:r>
      <w:r w:rsidRPr="003D13A6">
        <w:rPr>
          <w:rFonts w:ascii="Sylfaen" w:hAnsi="Sylfaen"/>
        </w:rPr>
        <w:t xml:space="preserve"> </w:t>
      </w:r>
      <w:r w:rsidRPr="003D13A6">
        <w:rPr>
          <w:rFonts w:ascii="Sylfaen" w:hAnsi="Sylfaen"/>
        </w:rPr>
        <w:t xml:space="preserve">Following words of Charles Gerkin rightly correspond to this understanding: </w:t>
      </w:r>
      <w:r w:rsidRPr="003D13A6">
        <w:rPr>
          <w:rFonts w:ascii="Sylfaen" w:hAnsi="Sylfaen"/>
          <w:iCs/>
        </w:rPr>
        <w:t>“Traditions are not simply the icons of a dead past. Rather, traditions are seen as living, dynamic, historical processes that move and change in the interaction between events and meanings over time, while remaining rooted in the primal images and metaphors of their historic beginnings”</w:t>
      </w:r>
      <w:r w:rsidRPr="003D13A6">
        <w:rPr>
          <w:rFonts w:ascii="Sylfaen" w:hAnsi="Sylfaen"/>
          <w:i/>
        </w:rPr>
        <w:t xml:space="preserve"> </w:t>
      </w:r>
      <w:r w:rsidRPr="003D13A6">
        <w:rPr>
          <w:rFonts w:ascii="Sylfaen" w:hAnsi="Sylfaen"/>
        </w:rPr>
        <w:t xml:space="preserve">(PROPHETIC PASTORAL PRACTICE, </w:t>
      </w:r>
      <w:r w:rsidRPr="003D13A6">
        <w:rPr>
          <w:rFonts w:ascii="Sylfaen" w:hAnsi="Sylfaen"/>
          <w:i/>
        </w:rPr>
        <w:t>“By Reason or by the Imagination?”</w:t>
      </w:r>
      <w:r w:rsidRPr="003D13A6">
        <w:rPr>
          <w:rFonts w:ascii="Sylfaen" w:hAnsi="Sylfaen"/>
          <w:iCs/>
        </w:rPr>
        <w:t xml:space="preserve">, </w:t>
      </w:r>
      <w:r w:rsidRPr="003D13A6">
        <w:rPr>
          <w:rFonts w:ascii="Sylfaen" w:hAnsi="Sylfaen"/>
        </w:rPr>
        <w:t>p. 60).</w:t>
      </w:r>
    </w:p>
  </w:footnote>
  <w:footnote w:id="2">
    <w:p w14:paraId="6782CA55" w14:textId="06387701" w:rsidR="003D13A6" w:rsidRPr="003D13A6" w:rsidRDefault="003D13A6" w:rsidP="003D13A6">
      <w:pPr>
        <w:pStyle w:val="FootnoteText"/>
        <w:jc w:val="both"/>
        <w:rPr>
          <w:rFonts w:ascii="Sylfaen" w:hAnsi="Sylfaen"/>
          <w:lang w:val="en-US"/>
        </w:rPr>
      </w:pPr>
      <w:r w:rsidRPr="003D13A6">
        <w:rPr>
          <w:rStyle w:val="FootnoteReference"/>
          <w:rFonts w:ascii="Sylfaen" w:hAnsi="Sylfaen"/>
        </w:rPr>
        <w:footnoteRef/>
      </w:r>
      <w:r w:rsidRPr="003D13A6">
        <w:rPr>
          <w:rFonts w:ascii="Sylfaen" w:hAnsi="Sylfaen"/>
        </w:rPr>
        <w:t xml:space="preserve"> </w:t>
      </w:r>
      <w:r w:rsidRPr="003D13A6">
        <w:rPr>
          <w:rFonts w:ascii="Sylfaen" w:hAnsi="Sylfaen"/>
        </w:rPr>
        <w:t xml:space="preserve">Vahe Oshagan, An Armenian prolific writer, assesses the development of the Armenian culture in the following critic in an article written lately: </w:t>
      </w:r>
      <w:r w:rsidRPr="003D13A6">
        <w:rPr>
          <w:rFonts w:ascii="Sylfaen" w:hAnsi="Sylfaen"/>
          <w:i/>
        </w:rPr>
        <w:t>“</w:t>
      </w:r>
      <w:r w:rsidRPr="003D13A6">
        <w:rPr>
          <w:rFonts w:ascii="Sylfaen" w:hAnsi="Sylfaen"/>
          <w:iCs/>
        </w:rPr>
        <w:t>The fundamental decision regarding the nature of our culture was reached in the fourth, and especially the fifth, centuries, when the adoption of Christianity and the invention of the alphabet turned our nation unreservedly and irrevocably toward Christian, Mediterranean and Greek civilization, as stated by Antoine Meillet. This direction remained unchanged over the succeeding –and unending– dark</w:t>
      </w:r>
      <w:r w:rsidRPr="003D13A6">
        <w:rPr>
          <w:rFonts w:ascii="Sylfaen" w:hAnsi="Sylfaen"/>
          <w:i/>
        </w:rPr>
        <w:t xml:space="preserve"> </w:t>
      </w:r>
      <w:r w:rsidRPr="003D13A6">
        <w:rPr>
          <w:rFonts w:ascii="Sylfaen" w:hAnsi="Sylfaen"/>
          <w:iCs/>
        </w:rPr>
        <w:t>centuries, despite countless temptations and largely owing to the commercial and cultural ties which were gradually developed with the West. This is how the development of the spiritual life continued, albeit with great difficulty, through the Middle Ages, whereby our national character became forged through tribulation. Meanwhile, the roots of our religious feeling became deeper, despite very difficult historical conditions, as Prof. Levon Khacherian’s studies on Medieval Armenian educational institutions show" (The Armenian Reporter Int’l, “Closing Account on the 20</w:t>
      </w:r>
      <w:r w:rsidRPr="003D13A6">
        <w:rPr>
          <w:rFonts w:ascii="Sylfaen" w:hAnsi="Sylfaen"/>
          <w:iCs/>
          <w:vertAlign w:val="superscript"/>
        </w:rPr>
        <w:t>th</w:t>
      </w:r>
      <w:r w:rsidRPr="003D13A6">
        <w:rPr>
          <w:rFonts w:ascii="Sylfaen" w:hAnsi="Sylfaen"/>
          <w:iCs/>
        </w:rPr>
        <w:t xml:space="preserve"> Century,” October 30, 1999).</w:t>
      </w:r>
    </w:p>
  </w:footnote>
  <w:footnote w:id="3">
    <w:p w14:paraId="7C0D9A37" w14:textId="57584C3D" w:rsidR="002E3534" w:rsidRPr="002E3534" w:rsidRDefault="002E3534" w:rsidP="002E3534">
      <w:pPr>
        <w:pStyle w:val="FootnoteText"/>
        <w:jc w:val="both"/>
        <w:rPr>
          <w:rFonts w:ascii="Sylfaen" w:hAnsi="Sylfaen"/>
          <w:lang w:val="en-US"/>
        </w:rPr>
      </w:pPr>
      <w:r w:rsidRPr="002E3534">
        <w:rPr>
          <w:rStyle w:val="FootnoteReference"/>
          <w:rFonts w:ascii="Sylfaen" w:hAnsi="Sylfaen"/>
        </w:rPr>
        <w:footnoteRef/>
      </w:r>
      <w:r w:rsidRPr="002E3534">
        <w:rPr>
          <w:rFonts w:ascii="Sylfaen" w:hAnsi="Sylfaen"/>
        </w:rPr>
        <w:t xml:space="preserve"> </w:t>
      </w:r>
      <w:r w:rsidRPr="002E3534">
        <w:rPr>
          <w:rFonts w:ascii="Sylfaen" w:hAnsi="Sylfaen"/>
          <w:iCs/>
        </w:rPr>
        <w:t>The role of the family is very critical in the dignified formation of children as is expressed in the following quotation: “The most important part of our culture is our particular family. The most basic culture in which we develop is the culture of our family, and our parents are its “culture leaders.” Moreover, the most significant aspect of that culture is not what our parents tell us about God and the nature of things but rather what they do –– how they behave toward each other, toward our siblings and, above all, toward us. In other words, what we learn about nature of the world when we are growing up is determined by the actual nature of our experience in the microcosm of the family. It is not much what our parents say that determines our world view as it is the unique world they create for us by their behavior” (</w:t>
      </w:r>
      <w:r w:rsidRPr="002E3534">
        <w:rPr>
          <w:rFonts w:ascii="Sylfaen" w:hAnsi="Sylfaen"/>
          <w:i/>
        </w:rPr>
        <w:t>The Road Less Traveled: A New Psychology of Love, Traditional Values and Spiritual Growth</w:t>
      </w:r>
      <w:r w:rsidRPr="002E3534">
        <w:rPr>
          <w:rFonts w:ascii="Sylfaen" w:hAnsi="Sylfaen"/>
          <w:iCs/>
        </w:rPr>
        <w:t>).</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1CE"/>
    <w:rsid w:val="00157BF2"/>
    <w:rsid w:val="002251CE"/>
    <w:rsid w:val="002E3534"/>
    <w:rsid w:val="003D13A6"/>
    <w:rsid w:val="003D7CBC"/>
    <w:rsid w:val="005705FF"/>
    <w:rsid w:val="005824C9"/>
    <w:rsid w:val="005D6B13"/>
    <w:rsid w:val="007D7895"/>
    <w:rsid w:val="00817BB2"/>
    <w:rsid w:val="00B41865"/>
    <w:rsid w:val="00E53DB1"/>
    <w:rsid w:val="00FC44D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97AD9"/>
  <w15:chartTrackingRefBased/>
  <w15:docId w15:val="{295DB543-3C34-6646-AC7A-FECBCFFE0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1C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251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51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51C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51C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251C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251C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51C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51C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51C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51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51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51C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51C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251C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251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251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251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251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251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51C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251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51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251C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2251CE"/>
    <w:rPr>
      <w:i/>
      <w:iCs/>
      <w:color w:val="404040" w:themeColor="text1" w:themeTint="BF"/>
    </w:rPr>
  </w:style>
  <w:style w:type="paragraph" w:styleId="ListParagraph">
    <w:name w:val="List Paragraph"/>
    <w:basedOn w:val="Normal"/>
    <w:uiPriority w:val="34"/>
    <w:qFormat/>
    <w:rsid w:val="002251C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2251CE"/>
    <w:rPr>
      <w:i/>
      <w:iCs/>
      <w:color w:val="2F5496" w:themeColor="accent1" w:themeShade="BF"/>
    </w:rPr>
  </w:style>
  <w:style w:type="paragraph" w:styleId="IntenseQuote">
    <w:name w:val="Intense Quote"/>
    <w:basedOn w:val="Normal"/>
    <w:next w:val="Normal"/>
    <w:link w:val="IntenseQuoteChar"/>
    <w:uiPriority w:val="30"/>
    <w:qFormat/>
    <w:rsid w:val="002251C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2251CE"/>
    <w:rPr>
      <w:i/>
      <w:iCs/>
      <w:color w:val="2F5496" w:themeColor="accent1" w:themeShade="BF"/>
    </w:rPr>
  </w:style>
  <w:style w:type="character" w:styleId="IntenseReference">
    <w:name w:val="Intense Reference"/>
    <w:basedOn w:val="DefaultParagraphFont"/>
    <w:uiPriority w:val="32"/>
    <w:qFormat/>
    <w:rsid w:val="002251CE"/>
    <w:rPr>
      <w:b/>
      <w:bCs/>
      <w:smallCaps/>
      <w:color w:val="2F5496" w:themeColor="accent1" w:themeShade="BF"/>
      <w:spacing w:val="5"/>
    </w:rPr>
  </w:style>
  <w:style w:type="paragraph" w:styleId="BodyText">
    <w:name w:val="Body Text"/>
    <w:basedOn w:val="Normal"/>
    <w:link w:val="BodyTextChar"/>
    <w:uiPriority w:val="99"/>
    <w:unhideWhenUsed/>
    <w:rsid w:val="002251CE"/>
    <w:pPr>
      <w:spacing w:after="120"/>
    </w:pPr>
  </w:style>
  <w:style w:type="character" w:customStyle="1" w:styleId="BodyTextChar">
    <w:name w:val="Body Text Char"/>
    <w:basedOn w:val="DefaultParagraphFont"/>
    <w:link w:val="BodyText"/>
    <w:uiPriority w:val="99"/>
    <w:rsid w:val="002251CE"/>
    <w:rPr>
      <w:rFonts w:ascii="Times New Roman" w:eastAsia="Times New Roman" w:hAnsi="Times New Roman" w:cs="Times New Roman"/>
      <w:color w:val="auto"/>
    </w:rPr>
  </w:style>
  <w:style w:type="paragraph" w:styleId="BodyText2">
    <w:name w:val="Body Text 2"/>
    <w:basedOn w:val="Normal"/>
    <w:link w:val="BodyText2Char"/>
    <w:unhideWhenUsed/>
    <w:rsid w:val="002251CE"/>
    <w:pPr>
      <w:spacing w:after="120" w:line="480" w:lineRule="auto"/>
    </w:pPr>
  </w:style>
  <w:style w:type="character" w:customStyle="1" w:styleId="BodyText2Char">
    <w:name w:val="Body Text 2 Char"/>
    <w:basedOn w:val="DefaultParagraphFont"/>
    <w:link w:val="BodyText2"/>
    <w:rsid w:val="002251CE"/>
    <w:rPr>
      <w:rFonts w:ascii="Times New Roman" w:eastAsia="Times New Roman" w:hAnsi="Times New Roman" w:cs="Times New Roman"/>
      <w:color w:val="auto"/>
    </w:rPr>
  </w:style>
  <w:style w:type="paragraph" w:styleId="Footer">
    <w:name w:val="footer"/>
    <w:basedOn w:val="Normal"/>
    <w:link w:val="FooterChar"/>
    <w:uiPriority w:val="99"/>
    <w:unhideWhenUsed/>
    <w:rsid w:val="002251CE"/>
    <w:pPr>
      <w:tabs>
        <w:tab w:val="center" w:pos="4680"/>
        <w:tab w:val="right" w:pos="9360"/>
      </w:tabs>
    </w:pPr>
  </w:style>
  <w:style w:type="character" w:customStyle="1" w:styleId="FooterChar">
    <w:name w:val="Footer Char"/>
    <w:basedOn w:val="DefaultParagraphFont"/>
    <w:link w:val="Footer"/>
    <w:uiPriority w:val="99"/>
    <w:rsid w:val="002251C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251CE"/>
  </w:style>
  <w:style w:type="paragraph" w:styleId="FootnoteText">
    <w:name w:val="footnote text"/>
    <w:basedOn w:val="Normal"/>
    <w:link w:val="FootnoteTextChar"/>
    <w:uiPriority w:val="99"/>
    <w:semiHidden/>
    <w:unhideWhenUsed/>
    <w:rsid w:val="003D13A6"/>
    <w:rPr>
      <w:sz w:val="20"/>
      <w:szCs w:val="20"/>
    </w:rPr>
  </w:style>
  <w:style w:type="character" w:customStyle="1" w:styleId="FootnoteTextChar">
    <w:name w:val="Footnote Text Char"/>
    <w:basedOn w:val="DefaultParagraphFont"/>
    <w:link w:val="FootnoteText"/>
    <w:uiPriority w:val="99"/>
    <w:semiHidden/>
    <w:rsid w:val="003D13A6"/>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3D13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07B8E-366D-5342-9ADA-531831BAE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4429</Words>
  <Characters>25247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2026-07-09T16:52:00Z</dcterms:created>
  <dcterms:modified xsi:type="dcterms:W3CDTF">2026-07-10T22:56:00Z</dcterms:modified>
</cp:coreProperties>
</file>