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946813" w14:textId="77777777" w:rsidR="005B1010" w:rsidRPr="005B1010" w:rsidRDefault="005B1010" w:rsidP="005B1010">
      <w:pPr>
        <w:pStyle w:val="Title"/>
        <w:jc w:val="center"/>
        <w:rPr>
          <w:rFonts w:ascii="Sylfaen" w:hAnsi="Sylfaen"/>
          <w:spacing w:val="0"/>
          <w:sz w:val="32"/>
          <w:szCs w:val="32"/>
        </w:rPr>
      </w:pPr>
      <w:r w:rsidRPr="005B1010">
        <w:rPr>
          <w:rFonts w:ascii="Sylfaen" w:hAnsi="Sylfaen"/>
          <w:spacing w:val="0"/>
          <w:sz w:val="32"/>
          <w:szCs w:val="32"/>
        </w:rPr>
        <w:t>ՀԱՅՈՐԴԻՆԵՐ ԱՇԽԱՐՀԻ ԽԱՌՆՈՒՂԻՆԵՐՈՒՆ ՎՐԱՅ</w:t>
      </w:r>
    </w:p>
    <w:p w14:paraId="3369647D" w14:textId="77777777" w:rsidR="005B1010" w:rsidRPr="005B1010" w:rsidRDefault="005B1010" w:rsidP="005B1010">
      <w:pPr>
        <w:pStyle w:val="Title"/>
        <w:jc w:val="both"/>
        <w:rPr>
          <w:rFonts w:ascii="Sylfaen" w:hAnsi="Sylfaen"/>
          <w:spacing w:val="0"/>
          <w:sz w:val="28"/>
          <w:szCs w:val="28"/>
        </w:rPr>
      </w:pPr>
      <w:r w:rsidRPr="005B1010">
        <w:rPr>
          <w:rFonts w:ascii="Sylfaen" w:hAnsi="Sylfaen"/>
          <w:spacing w:val="0"/>
          <w:sz w:val="28"/>
          <w:szCs w:val="28"/>
        </w:rPr>
        <w:t> </w:t>
      </w:r>
    </w:p>
    <w:p w14:paraId="6D40E31A"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Քսան օրեր, 25 Հոկտեմբերէն 12 Նոյեմբեր 2013, Ծայրագոյն Արեւելք գտնուեցայ եւ առաջին անգամ ըլլալով երեք քաղաքներ այցելեցի՝ Սինկափուր (Սինկափուր), Պուսան (Հարաւային Քորիա) եւ Թոքիօ (Ճափոն)։</w:t>
      </w:r>
    </w:p>
    <w:p w14:paraId="6D555886" w14:textId="77777777" w:rsidR="005B1010" w:rsidRPr="005B1010" w:rsidRDefault="005B1010" w:rsidP="005B1010">
      <w:pPr>
        <w:pStyle w:val="Title"/>
        <w:jc w:val="both"/>
        <w:rPr>
          <w:rFonts w:ascii="Sylfaen" w:hAnsi="Sylfaen"/>
          <w:spacing w:val="0"/>
          <w:sz w:val="28"/>
          <w:szCs w:val="28"/>
        </w:rPr>
      </w:pPr>
      <w:r w:rsidRPr="005B1010">
        <w:rPr>
          <w:rFonts w:ascii="Sylfaen" w:hAnsi="Sylfaen"/>
          <w:spacing w:val="0"/>
          <w:sz w:val="28"/>
          <w:szCs w:val="28"/>
        </w:rPr>
        <w:t> </w:t>
      </w:r>
      <w:r w:rsidRPr="005B1010">
        <w:rPr>
          <w:rFonts w:ascii="Sylfaen" w:hAnsi="Sylfaen"/>
          <w:spacing w:val="0"/>
          <w:sz w:val="28"/>
          <w:szCs w:val="28"/>
        </w:rPr>
        <w:tab/>
        <w:t>25 Հոկտեմբերին, Պէյրութէն Ապու Տապի օդանաւի թռիչքին ուշացումը 26 Հոկտեմբերին զիս ակամայ Ապու Տապի պահեց, ուր հայ բարեկամներու հետ անցուցի եւ շինարարութեան ընթացքի մէջ եղող հայ եկեղեցին, առաջնորդարանն ու կեդրոն-վարժարանը այցելեցի։ 2011-ին Ապու Տապի եղած էի եւ անբնական չէր մի քանի հազար հաշուող ազնուական հայորդիներու սխրանքը հանդիսացող այս նախաձեռ-նութեան վկան դառնալը։</w:t>
      </w:r>
    </w:p>
    <w:p w14:paraId="7E320516"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26–28 Հոկտեմբեր Սինկափուր անցայ, ուր իմացայ, թէ շիջած պատմական հայ գաղութը վերջին քսան տարիներուն ժամանած վաթ-սուն հայաստանցի հայերով բողբոջած է։ Բնականաբար, հայութիւն բուրող Ս. Գրիգոր Լուսաւորիչ եկեղեցին, հայկական պողոտան եւ Ռաֆըլս պանդոկը այցելեցի ու մեր Դպրեվանքի սաներէն մէկուն ծնողքը եւ եղբայրը եղող հիւրընկալներէս զատ ծանօթացայ չորս հայերու։ </w:t>
      </w:r>
    </w:p>
    <w:p w14:paraId="5FFA194C"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Հոս էր, որ դէմ յանդիման եկայ մեզ ամենուրեք կրծող հայա-պահպանութեան նոյն համատարած մղձաւանջին. «Ինչպէ՞ս եւ որքա՞ն պիտի դիմանանք մեզ յարատեւօրէն մաշեցնող համաշխարայնացման գլանին տակ»։ Եկեղեցւոյ պարտէզին մէջ պահ մը առանձնացայ եւ յիշեցի Սալզպուրկի հայ մայրիկը, որ արցունքոտ աչքերով իր չորս տարեկան թոռնիկը ցոյց տալով եւ սիրտին դառնութիւնը պարպելով, քանի մը ամիս առաջ ինծի ըսած էր. «Փա՜ռք Աստծուն, ամեն բան ունենք էստեղ. բայց էս երեխէքը ո՞նց հայ պիտի մնան. արդէն հայերէն չեն խօսում…»։ </w:t>
      </w:r>
    </w:p>
    <w:p w14:paraId="18A95FA3"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Ապու Տապի հայ համայնք ունինք եւ նոր եկեղեցի ու համալիր կը կառուցենք եւ հոգեւորական կը ղրկենք, հոս՝ հին եկեղեցի ունինք, նոր համայնք կը կազմաւորուի եւ հովիւի կարիքը խիստ զգալի կը դառնայ, եթէ մանաւանդ նոր հասնող հայերու թիւը զգալի աճ արձանագրէ։ </w:t>
      </w:r>
    </w:p>
    <w:p w14:paraId="34C6C0B0"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 xml:space="preserve">Այլ յուշ մը կ՚այցելէ զիս, երբ տակաւին թարմօրէն ականջիս կը հնչէ յոյն օրթոտոքս դարձած սինկափուրցի վարդապետին մեղադրանքը, որ 1996-ին, Ատիս Ապապայի մէջ, համա-ուղղափառ աւետարանչութիւն եւ առաքելութիւն թեման ընդգրկող միջ-եկեղեցական ժողովի ընթացքին </w:t>
      </w:r>
      <w:r w:rsidRPr="005B1010">
        <w:rPr>
          <w:rFonts w:ascii="Sylfaen" w:hAnsi="Sylfaen"/>
          <w:spacing w:val="0"/>
          <w:sz w:val="28"/>
          <w:szCs w:val="28"/>
        </w:rPr>
        <w:lastRenderedPageBreak/>
        <w:t>ուղղած էր ինծի. «Ո՞ւր էք հայերդ։ Սինկափուրի կեդրոնը հոյակապ եկեղեցի եւ հովուատուն ունիք ու հովիւ չունիք։ Գիտե՞ս որքա՜ն սին-կափուրցիներ կան, որ ուղղափառ կ՚ուզեն դառնալ եւ ձեր առաքելութեան մէջ կը թերանաք»։ </w:t>
      </w:r>
    </w:p>
    <w:p w14:paraId="47DAFCEC"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Եկեղեցի կը մտնեմ եւ փոքրիկ Հայկին աչքերուն մէջ կը նայիմ ու այս անգամ ինքզինքիս հարց կու տամ. «Բուռ մը հայ հոգեւորականներով ո՞ւր եւ որո՞ւն հասնիլ. Սփիւռքի մէջ հասակ առնող Հայկերո՞ւն, թէ հայ եկեղեցւոյ ճամբով ուղղափառ դառնալու հրաւիրուելու կոչուած սինկա-փուրցիներո՞ւն, չինացիներո՞ւն, իսլամներո՞ւն, պուտայականներո՞ւն…»։</w:t>
      </w:r>
    </w:p>
    <w:p w14:paraId="3725D389" w14:textId="77777777" w:rsidR="005B1010" w:rsidRPr="005B1010" w:rsidRDefault="005B1010" w:rsidP="005B1010">
      <w:pPr>
        <w:pStyle w:val="Title"/>
        <w:jc w:val="both"/>
        <w:rPr>
          <w:rFonts w:ascii="Sylfaen" w:hAnsi="Sylfaen"/>
          <w:spacing w:val="0"/>
          <w:sz w:val="28"/>
          <w:szCs w:val="28"/>
        </w:rPr>
      </w:pPr>
      <w:r w:rsidRPr="005B1010">
        <w:rPr>
          <w:rFonts w:ascii="Sylfaen" w:hAnsi="Sylfaen"/>
          <w:spacing w:val="0"/>
          <w:sz w:val="28"/>
          <w:szCs w:val="28"/>
        </w:rPr>
        <w:t>         29 Հոկտեմբերէն 8 Նոյեմբեր, Պուսան եղայ, ուր մեր պատուի-րակութեան ութը անդամներուն հետ Եկեղեցիներու Համաշխարհային Խորհուրդի 10-րդ համաժողովին մասնակցեցայ։ Հայ փնտռելու ժամանակ չեղաւ եւ պատահմամբ հայու ալ չհանդիպեցայ։</w:t>
      </w:r>
    </w:p>
    <w:p w14:paraId="4130F487"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Լիբանան վերադարձի ճամբուս վրայ, 9–11 Նոյեմբեր Թոքիօ մնացի։ Հոս ալ հայու չհանդիպեցայ. </w:t>
      </w:r>
      <w:r w:rsidRPr="005B1010">
        <w:rPr>
          <w:rFonts w:ascii="Sylfaen" w:hAnsi="Sylfaen"/>
          <w:spacing w:val="0"/>
          <w:sz w:val="28"/>
          <w:szCs w:val="28"/>
          <w:lang w:val="hy-AM"/>
        </w:rPr>
        <w:t>ս</w:t>
      </w:r>
      <w:r w:rsidRPr="005B1010">
        <w:rPr>
          <w:rFonts w:ascii="Sylfaen" w:hAnsi="Sylfaen"/>
          <w:spacing w:val="0"/>
          <w:sz w:val="28"/>
          <w:szCs w:val="28"/>
        </w:rPr>
        <w:t>ակայն, 11 Նոյեմբերի առաւօտեան ժամը 9.45-ին երբ պատահմամբ թուրքի մը նկարչական խանութին առջեւէն անցայ, հայութեան աշխարհով մէկ պարտադրաբար սփռուած ըլլալու ճնշող իրողութիւնը սիրտս ճլմեց եւ մտորումներով զիս Պուսան վերա-դարձուց։ </w:t>
      </w:r>
    </w:p>
    <w:p w14:paraId="0E21BD02"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Թուրքին խանութը եւ անոր առջեւ ծածանող թրքական դրօշակն ու թրքերէն «բարի գալուստի» մաղթանքը խանգարեցին տրամադրութիւնս։ Ինչո՞ւ այս անախորժ բեկումը, որ նոյնիսկ Պոլսոյ եւ մեծ ծնողներուս Կիլիկիոյ ծննդավայրերուն մէջ իսկ չէի զգացած։ Ի՞նչ գործ ունին թուրքը, թրքական դրօշակն ու թրքերէնը Թոքիոյի մէջ։ Երեւոյթը անհանդուրժելի էր։</w:t>
      </w:r>
    </w:p>
    <w:p w14:paraId="3F5CA0A9"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Պուսանի մէջ, համաժողովի երկրորդ օրը, աւելի քան 800 ժողովա-կաններուն եւ 3000 հիւրերուն ներկայացուեցաւ Հայկական Ցեղասպա-նութեան 100-ամեակին առթիւ Եկեղեցիներու Համաշխարհային Խոր-հուրդի հայ ժողովուրդի արդար դատին զօրակցութիւնը ընդգծող յայ-տարարութիւնը, որ Անթիլիասի մէջ մշակուած էր եւ Ս. Էջմիածնի պատուիրակութեան կողմէ եւս որդեգրուելով համաժողովին յղուած։</w:t>
      </w:r>
    </w:p>
    <w:p w14:paraId="5F8C504E"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 xml:space="preserve">Այս առթիւ, քորիական հեռատեսիլի կայանի թղթակիցին ըսած էի. «Առաջին անգամը չէ, որ Եկեղեցիներու Համաշխարհային Խորհուրդը Թուրքիոյ կողմէ հայ ժողովուրդին հանդէպ գործադրուած ցեղասպա-նութեան գծով իր արդար ձայնը կը բարձրացնէ։ Մենք երախտապարտ ենք </w:t>
      </w:r>
      <w:r w:rsidRPr="005B1010">
        <w:rPr>
          <w:rFonts w:ascii="Sylfaen" w:hAnsi="Sylfaen"/>
          <w:spacing w:val="0"/>
          <w:sz w:val="28"/>
          <w:szCs w:val="28"/>
        </w:rPr>
        <w:lastRenderedPageBreak/>
        <w:t>բոլոր եկեղեցիներուն եւ պետութիւններուն, որոնք մեր դատին ճանաչման համար աշխատած են եւ կը շարունակեն աշխատիլ։ Սակայն, 100-ամեակի սեմին, այս միջազգային զօրակցութիւնը կոչ մըն է համայն մարդկութեան դրականօրէն արձագանգելու նոյնինքն մեր համաժողովի գլխաւոր թեմային՝ «Կենսատու Աստուած, մեզ արդարութեան եւ խաղաղութեան առաջնորդէ», որպէսզի ցեղասպանութիւններու զոհ դարձած ժողո-վուրդներ արդարութեան արժանանան, այլեւս ցեղասպանութիւններ տեղի չունենան եւ ամբողջ մարդկութիւնը խաղաղութեան մէջ ապրի»։  </w:t>
      </w:r>
    </w:p>
    <w:p w14:paraId="24F1A32B"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Իսկ հիմա՝ ի՞նչ արդարութիւն էր հոգեյատակս ալեկոծող այս երեւոյթը։</w:t>
      </w:r>
    </w:p>
    <w:p w14:paraId="650D7280"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Սինկափուր եւ Թոքիօ միայն երկու հայակուլ քաղաքներ են աշխարհի տարածքին, ուր հայ մնալն ու հայ դատի հետապնդման աշխատանք տանիլը ցնորական կը մնան։ Իսկ տակաւին միւս քաղաք-ներուն ոլորապտոյտ կածաննե՞րը…։</w:t>
      </w:r>
    </w:p>
    <w:p w14:paraId="4FEE7616"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Թոքիոյի յոգնախուռն եւ խժալուր ամբոխին մէջ կանգնած, բարե-բախտ ուշացրումով ութը տարեկանի օրերուս կը վերադառնամ, երբ մայրս յաւելեալ եկամուտ ապահովելու պարտաւորութեամբ տան մէջ կանացի հագուստներ կը կարէր եւ Պոլսէն թուրք յաճախորդուհի մըն ալ ունէր, որ տարին մի քանի անգամ լոխումով ու խաղալիքներով ծանրաբեռն մեր մօտ կու գար։ 1970-ի Ապրիլն էր եւ հայերէնի ուսուց-չուհիս Ապրիլ 24-ի մասին շարադրութիւն գրելու պարտականութիւն տուած էր։ Տակաւին թարմ էին մեծ մօրս պատմած եւ իմ գրի առած արիւնոտ յուշերը, երբ թրքուհին մեր տան սեմէն ներս կը մտնէր՝ «Մանուկ, եավրում» փաղաքշական բացագանչութեամբ եւ նուէրներուն ծրարը ինծի կ՚երկարէր, որուն կը պատասխանէի. «Այս կինը հիմա պիտի մեռ-ցընեմ» պոռթկումով։ </w:t>
      </w:r>
    </w:p>
    <w:p w14:paraId="0A34FED1"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Իսկ հիմա՝ ի՞նչ ընել այս Թոքիոյի թուրքը։ </w:t>
      </w:r>
    </w:p>
    <w:p w14:paraId="2E203CB8"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Կ՚անտեսեմ եւ մտորումներուս յանձնուած ճամբաս կը շարունակեմ։</w:t>
      </w:r>
    </w:p>
    <w:p w14:paraId="25C61971" w14:textId="77777777" w:rsidR="005B1010" w:rsidRPr="005B1010" w:rsidRDefault="005B1010" w:rsidP="005B1010">
      <w:pPr>
        <w:pStyle w:val="Title"/>
        <w:jc w:val="both"/>
        <w:rPr>
          <w:rFonts w:ascii="Sylfaen" w:hAnsi="Sylfaen"/>
          <w:spacing w:val="0"/>
          <w:sz w:val="28"/>
          <w:szCs w:val="28"/>
        </w:rPr>
      </w:pPr>
      <w:r w:rsidRPr="005B1010">
        <w:rPr>
          <w:rFonts w:ascii="Sylfaen" w:hAnsi="Sylfaen"/>
          <w:spacing w:val="0"/>
          <w:sz w:val="28"/>
          <w:szCs w:val="28"/>
        </w:rPr>
        <w:t xml:space="preserve">Սինկափուր, Քորիա, Ճափոն եւ դեռ Ասիոյ այլ երկիրներ ինծի պէս քրիստոնեաներ կան, որոնք ամեն օր արդարութեան եւ խաղաղութեան համահաստատման մարտահրաւէրը կ՚ապրին։ Ի՜նչ էին այս ժողո-վուրդները եւ ինչպէ՜ս քրիստոնեայ դարձան։ Մինչ մենք ներքին աւե-տարանչութեան կառչած մնացինք եւ մեր ժողովուրդի հայ-քրիստո-նէական պահպանումը փորձեցինք երաշխաւորել, բազմաթիւ ոչ-հայ միսիոնարներ Քրիստոսը բերին աշխարհի այս ցամաքամասը եւ մինչեւ </w:t>
      </w:r>
      <w:r w:rsidRPr="005B1010">
        <w:rPr>
          <w:rFonts w:ascii="Sylfaen" w:hAnsi="Sylfaen"/>
          <w:spacing w:val="0"/>
          <w:sz w:val="28"/>
          <w:szCs w:val="28"/>
        </w:rPr>
        <w:lastRenderedPageBreak/>
        <w:t>իսկ իրենց կեանքը զոհեցին Քրիստոսի աւետարանին տարածման համար։ Մենք եւս ոչ-հայ երկու առաքեալ-միսիոնարներով քրիստոնեայ չդար-ձա՞նք առաջին դարուն։ Յետոյ, քրիստոնեայ պետականութիւն չհռչա-կեցի՞նք, ոսկեդար չկերտեցի՞նք, Աւարայր չգոյամարտեցա՞նք։ Մէկ խօս-քով, քրիստոնէութիւնը հայութեան մորթի գոյնին չվերածեցի՞նք։ Այս բոլորը իրագործեցինք, որովհետեւ միազանգուած հայ-քրիստոնեայ դարձանք, համայնացանք, մեր լսածը ապրեցանք եւ մեզ անմահացնող արուեստի վերածեցինք։ Իսկ այսօր նորածիլ ազատ եկեղեցիներ նոյն սկզբունքներով կ՚աճին եւ նորադարձ քրիստոնեաներով իրենց շարքերը կը խտացնեն ամեն տեղ ու մենք կերուխումով դրամ հաւաքելու եւ արուեստական համայնք ստեղծելու խօլ արշաւի մէջ կը գտնուինք։</w:t>
      </w:r>
    </w:p>
    <w:p w14:paraId="3BCAB92D" w14:textId="77777777" w:rsidR="005B1010" w:rsidRPr="005B1010" w:rsidRDefault="005B1010" w:rsidP="005B1010">
      <w:pPr>
        <w:pStyle w:val="Title"/>
        <w:jc w:val="both"/>
        <w:rPr>
          <w:rFonts w:ascii="Sylfaen" w:hAnsi="Sylfaen"/>
          <w:spacing w:val="0"/>
          <w:sz w:val="28"/>
          <w:szCs w:val="28"/>
        </w:rPr>
      </w:pPr>
      <w:r w:rsidRPr="005B1010">
        <w:rPr>
          <w:rFonts w:ascii="Sylfaen" w:hAnsi="Sylfaen"/>
          <w:spacing w:val="0"/>
          <w:sz w:val="28"/>
          <w:szCs w:val="28"/>
        </w:rPr>
        <w:t>         Հայաստանէն անհակակշռելի արտագաղթը եւ Միջին Արեւելքի հայ գաղութներէն պարտադրեալ հեռացումը արիւնաքամ ըրած են մեզ եւ դեռ ճանապարհին սկիզբն ենք։ Հայաստանի քաղաքական իշխանութիւնները պէտք է Սինկափուրի առաջին վարչապետ Լի Քուան Եույի ԶԵՐՕ կաշառակերութիւն սկզբունքը որդեգրեն եւ նախ իրենք բարի օրինակ դառնան, իսկ Միջին Արեւելքի երկիրներու քաղաքական պատաս-խանատուները պէտք է համակեցութեան հանդուրժողութեամբ առաջ-նորդուին, որպէսզի հայութիւնը ամեն տեղ կարենայ իր երթը հաս-տատակամ շարունակել։ </w:t>
      </w:r>
    </w:p>
    <w:p w14:paraId="6B2EC4DE" w14:textId="77777777" w:rsidR="005B1010" w:rsidRPr="005B1010" w:rsidRDefault="005B1010" w:rsidP="005B1010">
      <w:pPr>
        <w:pStyle w:val="Title"/>
        <w:ind w:firstLine="720"/>
        <w:jc w:val="both"/>
        <w:rPr>
          <w:rFonts w:ascii="Sylfaen" w:hAnsi="Sylfaen"/>
          <w:spacing w:val="0"/>
          <w:sz w:val="28"/>
          <w:szCs w:val="28"/>
        </w:rPr>
      </w:pPr>
      <w:r w:rsidRPr="005B1010">
        <w:rPr>
          <w:rFonts w:ascii="Sylfaen" w:hAnsi="Sylfaen"/>
          <w:spacing w:val="0"/>
          <w:sz w:val="28"/>
          <w:szCs w:val="28"/>
        </w:rPr>
        <w:t>Մինչ այդ հարցումներուն հարցումը կը շարունակէ չարչրկել միտքս. «Մեր հայկական խճուղին ինչպէ՞ս այս սփիւռքեան երթուղի-ներուն, մայրուղիներուն, քառուղիներուն եւ մանաւանդ խառնուղինե-րուն յանգեցաւ…»։ </w:t>
      </w:r>
    </w:p>
    <w:p w14:paraId="7C436A76" w14:textId="77777777" w:rsidR="005B1010" w:rsidRPr="005B1010" w:rsidRDefault="005B1010" w:rsidP="005B1010">
      <w:pPr>
        <w:pStyle w:val="Title"/>
        <w:jc w:val="both"/>
        <w:rPr>
          <w:rFonts w:ascii="Sylfaen" w:hAnsi="Sylfaen"/>
          <w:spacing w:val="0"/>
          <w:sz w:val="28"/>
          <w:szCs w:val="28"/>
        </w:rPr>
      </w:pPr>
      <w:r w:rsidRPr="005B1010">
        <w:rPr>
          <w:rFonts w:ascii="Sylfaen" w:hAnsi="Sylfaen"/>
          <w:spacing w:val="0"/>
          <w:sz w:val="28"/>
          <w:szCs w:val="28"/>
        </w:rPr>
        <w:t> </w:t>
      </w:r>
    </w:p>
    <w:p w14:paraId="41582DC6" w14:textId="58C40293" w:rsidR="005B1010" w:rsidRPr="005B1010" w:rsidRDefault="005B1010" w:rsidP="005B1010">
      <w:pPr>
        <w:pStyle w:val="Title"/>
        <w:rPr>
          <w:rFonts w:ascii="Sylfaen" w:hAnsi="Sylfaen"/>
          <w:spacing w:val="0"/>
          <w:sz w:val="28"/>
          <w:szCs w:val="28"/>
        </w:rPr>
      </w:pPr>
      <w:r w:rsidRPr="005B1010">
        <w:rPr>
          <w:rFonts w:ascii="Sylfaen" w:hAnsi="Sylfaen"/>
          <w:spacing w:val="0"/>
          <w:sz w:val="28"/>
          <w:szCs w:val="28"/>
        </w:rPr>
        <w:t>25 Նոյեմբեր 2013                                                         Նարեկ Արք. Ալեէմէզեան</w:t>
      </w:r>
    </w:p>
    <w:p w14:paraId="6EE0D6F9" w14:textId="77777777" w:rsidR="005B1010" w:rsidRPr="005B1010" w:rsidRDefault="005B1010" w:rsidP="005B1010">
      <w:pPr>
        <w:pStyle w:val="Title"/>
        <w:rPr>
          <w:rFonts w:ascii="Sylfaen" w:hAnsi="Sylfaen"/>
          <w:spacing w:val="0"/>
          <w:sz w:val="28"/>
          <w:szCs w:val="28"/>
        </w:rPr>
      </w:pPr>
      <w:r w:rsidRPr="005B1010">
        <w:rPr>
          <w:rFonts w:ascii="Sylfaen" w:hAnsi="Sylfaen"/>
          <w:spacing w:val="0"/>
          <w:sz w:val="28"/>
          <w:szCs w:val="28"/>
        </w:rPr>
        <w:t>Մոնթրէալ</w:t>
      </w:r>
    </w:p>
    <w:p w14:paraId="3E60CC0E" w14:textId="77777777" w:rsidR="007D7895" w:rsidRPr="005B1010" w:rsidRDefault="007D7895"/>
    <w:sectPr w:rsidR="007D7895" w:rsidRPr="005B1010">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3ED638" w14:textId="77777777" w:rsidR="00D240C2" w:rsidRDefault="00D240C2" w:rsidP="002A2E66">
      <w:r>
        <w:separator/>
      </w:r>
    </w:p>
  </w:endnote>
  <w:endnote w:type="continuationSeparator" w:id="0">
    <w:p w14:paraId="53B57B5E" w14:textId="77777777" w:rsidR="00D240C2" w:rsidRDefault="00D240C2" w:rsidP="002A2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0576003"/>
      <w:docPartObj>
        <w:docPartGallery w:val="Page Numbers (Bottom of Page)"/>
        <w:docPartUnique/>
      </w:docPartObj>
    </w:sdtPr>
    <w:sdtContent>
      <w:p w14:paraId="29DABFA8" w14:textId="77A89892" w:rsidR="002A2E66" w:rsidRDefault="002A2E6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FF5E8A" w14:textId="77777777" w:rsidR="002A2E66" w:rsidRDefault="002A2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0873544"/>
      <w:docPartObj>
        <w:docPartGallery w:val="Page Numbers (Bottom of Page)"/>
        <w:docPartUnique/>
      </w:docPartObj>
    </w:sdtPr>
    <w:sdtContent>
      <w:p w14:paraId="5483B3C2" w14:textId="56BD8754" w:rsidR="002A2E66" w:rsidRDefault="002A2E66"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067A04" w14:textId="77777777" w:rsidR="002A2E66" w:rsidRDefault="002A2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E8C976" w14:textId="77777777" w:rsidR="00D240C2" w:rsidRDefault="00D240C2" w:rsidP="002A2E66">
      <w:r>
        <w:separator/>
      </w:r>
    </w:p>
  </w:footnote>
  <w:footnote w:type="continuationSeparator" w:id="0">
    <w:p w14:paraId="5C10DEAC" w14:textId="77777777" w:rsidR="00D240C2" w:rsidRDefault="00D240C2" w:rsidP="002A2E6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010"/>
    <w:rsid w:val="00157BF2"/>
    <w:rsid w:val="002A2E66"/>
    <w:rsid w:val="003D7CBC"/>
    <w:rsid w:val="005824C9"/>
    <w:rsid w:val="005B1010"/>
    <w:rsid w:val="007D7895"/>
    <w:rsid w:val="00825125"/>
    <w:rsid w:val="00B41865"/>
    <w:rsid w:val="00D240C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DC4FBF2"/>
  <w15:chartTrackingRefBased/>
  <w15:docId w15:val="{565C7D82-C4DB-6841-9EA6-48B4F6F3D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0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10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101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101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B101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B101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101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101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101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0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10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101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101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B101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B10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10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10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1010"/>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5B1010"/>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5B101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B101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01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10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1010"/>
    <w:rPr>
      <w:i/>
      <w:iCs/>
      <w:color w:val="404040" w:themeColor="text1" w:themeTint="BF"/>
    </w:rPr>
  </w:style>
  <w:style w:type="paragraph" w:styleId="ListParagraph">
    <w:name w:val="List Paragraph"/>
    <w:basedOn w:val="Normal"/>
    <w:uiPriority w:val="34"/>
    <w:qFormat/>
    <w:rsid w:val="005B1010"/>
    <w:pPr>
      <w:ind w:left="720"/>
      <w:contextualSpacing/>
    </w:pPr>
  </w:style>
  <w:style w:type="character" w:styleId="IntenseEmphasis">
    <w:name w:val="Intense Emphasis"/>
    <w:basedOn w:val="DefaultParagraphFont"/>
    <w:uiPriority w:val="21"/>
    <w:qFormat/>
    <w:rsid w:val="005B1010"/>
    <w:rPr>
      <w:i/>
      <w:iCs/>
      <w:color w:val="2F5496" w:themeColor="accent1" w:themeShade="BF"/>
    </w:rPr>
  </w:style>
  <w:style w:type="paragraph" w:styleId="IntenseQuote">
    <w:name w:val="Intense Quote"/>
    <w:basedOn w:val="Normal"/>
    <w:next w:val="Normal"/>
    <w:link w:val="IntenseQuoteChar"/>
    <w:uiPriority w:val="30"/>
    <w:qFormat/>
    <w:rsid w:val="005B10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1010"/>
    <w:rPr>
      <w:i/>
      <w:iCs/>
      <w:color w:val="2F5496" w:themeColor="accent1" w:themeShade="BF"/>
    </w:rPr>
  </w:style>
  <w:style w:type="character" w:styleId="IntenseReference">
    <w:name w:val="Intense Reference"/>
    <w:basedOn w:val="DefaultParagraphFont"/>
    <w:uiPriority w:val="32"/>
    <w:qFormat/>
    <w:rsid w:val="005B1010"/>
    <w:rPr>
      <w:b/>
      <w:bCs/>
      <w:smallCaps/>
      <w:color w:val="2F5496" w:themeColor="accent1" w:themeShade="BF"/>
      <w:spacing w:val="5"/>
    </w:rPr>
  </w:style>
  <w:style w:type="paragraph" w:styleId="Footer">
    <w:name w:val="footer"/>
    <w:basedOn w:val="Normal"/>
    <w:link w:val="FooterChar"/>
    <w:uiPriority w:val="99"/>
    <w:unhideWhenUsed/>
    <w:rsid w:val="002A2E66"/>
    <w:pPr>
      <w:tabs>
        <w:tab w:val="center" w:pos="4680"/>
        <w:tab w:val="right" w:pos="9360"/>
      </w:tabs>
    </w:pPr>
  </w:style>
  <w:style w:type="character" w:customStyle="1" w:styleId="FooterChar">
    <w:name w:val="Footer Char"/>
    <w:basedOn w:val="DefaultParagraphFont"/>
    <w:link w:val="Footer"/>
    <w:uiPriority w:val="99"/>
    <w:rsid w:val="002A2E66"/>
  </w:style>
  <w:style w:type="character" w:styleId="PageNumber">
    <w:name w:val="page number"/>
    <w:basedOn w:val="DefaultParagraphFont"/>
    <w:uiPriority w:val="99"/>
    <w:semiHidden/>
    <w:unhideWhenUsed/>
    <w:rsid w:val="002A2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2026-07-20T13:12:00Z</dcterms:created>
  <dcterms:modified xsi:type="dcterms:W3CDTF">2026-07-20T13:15:00Z</dcterms:modified>
</cp:coreProperties>
</file>