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D2FB7" w14:textId="77777777" w:rsidR="00516606" w:rsidRPr="00516606" w:rsidRDefault="00516606" w:rsidP="00516606">
      <w:pPr>
        <w:pStyle w:val="FootnoteText"/>
        <w:jc w:val="center"/>
        <w:rPr>
          <w:rFonts w:ascii="Sylfaen" w:hAnsi="Sylfaen"/>
          <w:sz w:val="32"/>
          <w:szCs w:val="32"/>
        </w:rPr>
      </w:pPr>
      <w:r w:rsidRPr="00516606">
        <w:rPr>
          <w:rFonts w:ascii="Sylfaen" w:hAnsi="Sylfaen"/>
          <w:sz w:val="32"/>
          <w:szCs w:val="32"/>
        </w:rPr>
        <w:t>ՔՐԻՍՏՈՆԷԱԿԱՆ ԱՍՏՈՒԱԾՊԱՇՏՈՒԹԻՒՆԸ</w:t>
      </w:r>
    </w:p>
    <w:p w14:paraId="2D1C391A" w14:textId="77777777" w:rsidR="00516606" w:rsidRPr="00516606" w:rsidRDefault="00516606" w:rsidP="00516606">
      <w:pPr>
        <w:pStyle w:val="FootnoteText"/>
        <w:jc w:val="center"/>
        <w:rPr>
          <w:rFonts w:ascii="Sylfaen" w:hAnsi="Sylfaen"/>
          <w:sz w:val="32"/>
          <w:szCs w:val="32"/>
        </w:rPr>
      </w:pPr>
      <w:r w:rsidRPr="00516606">
        <w:rPr>
          <w:rFonts w:ascii="Sylfaen" w:hAnsi="Sylfaen"/>
          <w:sz w:val="32"/>
          <w:szCs w:val="32"/>
        </w:rPr>
        <w:t>(ՀԱՅ ԱՌԱՔԵԼԱԿԱՆ ԵԿԵՂԵՑՒՈՅ ՓՈՐՁԱՌՈՒԹԻՒՆԸ)</w:t>
      </w:r>
    </w:p>
    <w:p w14:paraId="2EC76813" w14:textId="03E845F7" w:rsidR="00516606" w:rsidRPr="007B5AF7" w:rsidRDefault="00516606" w:rsidP="00516606">
      <w:pPr>
        <w:pStyle w:val="FootnoteText"/>
        <w:jc w:val="both"/>
        <w:rPr>
          <w:rFonts w:ascii="Sylfaen" w:hAnsi="Sylfaen"/>
          <w:sz w:val="28"/>
          <w:szCs w:val="28"/>
          <w:lang w:val="hy-AM"/>
        </w:rPr>
      </w:pPr>
    </w:p>
    <w:p w14:paraId="32F05B46"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Ա. Սահմանում աստուածպաշտութեան </w:t>
      </w:r>
    </w:p>
    <w:p w14:paraId="49EA5303"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եւ քրիստոնէական աստուածպաշտութեան</w:t>
      </w:r>
    </w:p>
    <w:p w14:paraId="3D7F77FA"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Աստուածպաշտութիւնը կրօնական երեւոյթ է։ Ան կարիք եւ մղում է երկիւղածութեամբ մօտենալու մեզմէ վեր եւ անդին գտնուող Սուր</w:t>
      </w:r>
      <w:r>
        <w:rPr>
          <w:rFonts w:ascii="Sylfaen" w:hAnsi="Sylfaen"/>
          <w:sz w:val="28"/>
          <w:szCs w:val="28"/>
        </w:rPr>
        <w:t>-</w:t>
      </w:r>
      <w:r w:rsidRPr="008C3EB4">
        <w:rPr>
          <w:rFonts w:ascii="Sylfaen" w:hAnsi="Sylfaen"/>
          <w:sz w:val="28"/>
          <w:szCs w:val="28"/>
        </w:rPr>
        <w:t>բին/Սրբութեան, որ խորհրդաւոր (mysterious) եւ գերիվեր (tremendous) ըլլալով հանդերձ մեզ կը հրապուրէ (fascinate), որովհետեւ Անոր մէջ կը տեսնենք մեր այլուր չգտած գրաւչութիւնն ու ներշնչումը եւ մեր մարդկային կարողութիւններով (բանականութիւն, զգացում եւ այլն) ու կարելիութիւններով (աղօթել, երգել, երկրպագել, խնկարկել, ջուր գոր</w:t>
      </w:r>
      <w:r>
        <w:rPr>
          <w:rFonts w:ascii="Sylfaen" w:hAnsi="Sylfaen"/>
          <w:sz w:val="28"/>
          <w:szCs w:val="28"/>
        </w:rPr>
        <w:t>-</w:t>
      </w:r>
      <w:r w:rsidRPr="008C3EB4">
        <w:rPr>
          <w:rFonts w:ascii="Sylfaen" w:hAnsi="Sylfaen"/>
          <w:sz w:val="28"/>
          <w:szCs w:val="28"/>
        </w:rPr>
        <w:t>ծածել եւ այլն) կը դիմենք Անոր՝ որպէսզի մեր ծառայութիւնը որպէս վկայութիւն մատուցենք Անոր։ </w:t>
      </w:r>
    </w:p>
    <w:p w14:paraId="5E2A7C26"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Աստուածպաշտութիւնը կրնայ հաւաքական</w:t>
      </w:r>
      <w:r>
        <w:rPr>
          <w:rFonts w:ascii="Sylfaen" w:hAnsi="Sylfaen"/>
          <w:sz w:val="28"/>
          <w:szCs w:val="28"/>
        </w:rPr>
        <w:t xml:space="preserve"> </w:t>
      </w:r>
      <w:r w:rsidRPr="008C3EB4">
        <w:rPr>
          <w:rFonts w:ascii="Sylfaen" w:hAnsi="Sylfaen"/>
          <w:sz w:val="28"/>
          <w:szCs w:val="28"/>
        </w:rPr>
        <w:t>կամ անհատական ըլլալ եւ որպէս մաքուր սիրտով Աստուծոյ մատուցուած ծառայութիւն՝ մէկը միւսը կ</w:t>
      </w:r>
      <w:r>
        <w:rPr>
          <w:rFonts w:ascii="Sylfaen" w:hAnsi="Sylfaen"/>
          <w:sz w:val="28"/>
          <w:szCs w:val="28"/>
        </w:rPr>
        <w:t>՚</w:t>
      </w:r>
      <w:r w:rsidRPr="008C3EB4">
        <w:rPr>
          <w:rFonts w:ascii="Sylfaen" w:hAnsi="Sylfaen"/>
          <w:sz w:val="28"/>
          <w:szCs w:val="28"/>
        </w:rPr>
        <w:t>ամբողջացնէ։</w:t>
      </w:r>
    </w:p>
    <w:p w14:paraId="1EE99ED7"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Նախքան քրիստոնէական աստուածպաշտութեան ծիսական հա-ւաքական երեսին անդրադառնալը՝ անհրաժեշտ կը նկատեմ ընդգծել, թէ անհատական կամ ընտանեկան աստուածպաշտութիւնը կ</w:t>
      </w:r>
      <w:r>
        <w:rPr>
          <w:rFonts w:ascii="Sylfaen" w:hAnsi="Sylfaen"/>
          <w:sz w:val="28"/>
          <w:szCs w:val="28"/>
        </w:rPr>
        <w:t>՚</w:t>
      </w:r>
      <w:r w:rsidRPr="008C3EB4">
        <w:rPr>
          <w:rFonts w:ascii="Sylfaen" w:hAnsi="Sylfaen"/>
          <w:sz w:val="28"/>
          <w:szCs w:val="28"/>
        </w:rPr>
        <w:t>արտա-յայտուի Աստուածաշունչի ընթերցումով, սրտաբուխ աղօթքով, փառա-բանութեամբ, այլ բարեպաշտական արարքներով եւ բարեգործութեամբ՝ որպէս դրական ընդառաջում աստուածային պատուիրանապահութեան։ Ծիսական հաւաքական աստուածպաշտութիւնը այն հրապարակային արարքն է՝ երբ զԱստուած պաշտող հոգեւորականներ եւ աշխար</w:t>
      </w:r>
      <w:r>
        <w:rPr>
          <w:rFonts w:ascii="Sylfaen" w:hAnsi="Sylfaen"/>
          <w:sz w:val="28"/>
          <w:szCs w:val="28"/>
        </w:rPr>
        <w:t>-</w:t>
      </w:r>
      <w:r w:rsidRPr="008C3EB4">
        <w:rPr>
          <w:rFonts w:ascii="Sylfaen" w:hAnsi="Sylfaen"/>
          <w:sz w:val="28"/>
          <w:szCs w:val="28"/>
        </w:rPr>
        <w:t>հականներ միասնաբար իրենք զիրենք Յ.Ք. առաջին դարէն մինչեւ մեր օրերը երկարաձգուող եկեղեցւոյ պատմական համայնքին շարու</w:t>
      </w:r>
      <w:r>
        <w:rPr>
          <w:rFonts w:ascii="Sylfaen" w:hAnsi="Sylfaen"/>
          <w:sz w:val="28"/>
          <w:szCs w:val="28"/>
        </w:rPr>
        <w:t>-</w:t>
      </w:r>
      <w:r w:rsidRPr="008C3EB4">
        <w:rPr>
          <w:rFonts w:ascii="Sylfaen" w:hAnsi="Sylfaen"/>
          <w:sz w:val="28"/>
          <w:szCs w:val="28"/>
        </w:rPr>
        <w:t>նակութիւնը կը նկատեն եւ եկեղեցւոյ անցեալ (յաղթական եկեղեցի), ներկայ (զինուորեալ եկեղեցի) ու ապագայ (վախճանաբանական եկեղեցի) միակ կեանքին կը մասնակցին՝ պատմութեան մէջ կատարուած տէրունի փրկագործութիւնը ներկայ եւ ներգործօն դարձնելով, ու նորոգելով իրենց հաւատքը, յոյսը եւ սէրը անվերադարձ ապագային՝ յաւիտենական կեան</w:t>
      </w:r>
      <w:r>
        <w:rPr>
          <w:rFonts w:ascii="Sylfaen" w:hAnsi="Sylfaen"/>
          <w:sz w:val="28"/>
          <w:szCs w:val="28"/>
        </w:rPr>
        <w:t>-</w:t>
      </w:r>
      <w:r w:rsidRPr="008C3EB4">
        <w:rPr>
          <w:rFonts w:ascii="Sylfaen" w:hAnsi="Sylfaen"/>
          <w:sz w:val="28"/>
          <w:szCs w:val="28"/>
        </w:rPr>
        <w:t>քին վրայ կեդրոնացած պահելով իրենց հոգեւոր սեւեռումը։</w:t>
      </w:r>
    </w:p>
    <w:p w14:paraId="037F5A34"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lastRenderedPageBreak/>
        <w:t>          Աստուածպաշտութեան յղող արմատ-բառերէն մին յունարէնէ սե</w:t>
      </w:r>
      <w:r>
        <w:rPr>
          <w:rFonts w:ascii="Sylfaen" w:hAnsi="Sylfaen"/>
          <w:sz w:val="28"/>
          <w:szCs w:val="28"/>
        </w:rPr>
        <w:t>-</w:t>
      </w:r>
      <w:r w:rsidRPr="008C3EB4">
        <w:rPr>
          <w:rFonts w:ascii="Sylfaen" w:hAnsi="Sylfaen"/>
          <w:sz w:val="28"/>
          <w:szCs w:val="28"/>
        </w:rPr>
        <w:t>րած անգլերէն “liturgy” բառն է, որ ընդհանուր ծառայութեան եւ վերեւ յիշուած մղումին կ</w:t>
      </w:r>
      <w:r>
        <w:rPr>
          <w:rFonts w:ascii="Sylfaen" w:hAnsi="Sylfaen"/>
          <w:sz w:val="28"/>
          <w:szCs w:val="28"/>
        </w:rPr>
        <w:t>՚</w:t>
      </w:r>
      <w:r w:rsidRPr="008C3EB4">
        <w:rPr>
          <w:rFonts w:ascii="Sylfaen" w:hAnsi="Sylfaen"/>
          <w:sz w:val="28"/>
          <w:szCs w:val="28"/>
        </w:rPr>
        <w:t>առնչուի, ու նոյնարմատ է “energy”-ին հետ։</w:t>
      </w:r>
    </w:p>
    <w:p w14:paraId="47B423EE"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Աստուածպաշտութեան յղող այլ սահմանում մըն է երկրպա-գութիւնը, որ ցոյց կու տայ մինչեւ իսկ գետին խոնարհելով Աստուծոյ դիմելու մեր ֆիզիքական ընդառաջումը։</w:t>
      </w:r>
    </w:p>
    <w:p w14:paraId="64D32D49"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Եկեղեցին, զԱստուած պաշտող համայնքը, քրիստոսակեդրոն է։ Աստուածաշունչը վկայագիրքն է այս քրիստոսակեդրոնութեան եւ Աւան</w:t>
      </w:r>
      <w:r>
        <w:rPr>
          <w:rFonts w:ascii="Sylfaen" w:hAnsi="Sylfaen"/>
          <w:sz w:val="28"/>
          <w:szCs w:val="28"/>
        </w:rPr>
        <w:t>-</w:t>
      </w:r>
      <w:r w:rsidRPr="008C3EB4">
        <w:rPr>
          <w:rFonts w:ascii="Sylfaen" w:hAnsi="Sylfaen"/>
          <w:sz w:val="28"/>
          <w:szCs w:val="28"/>
        </w:rPr>
        <w:t>դութիւնը՝ անոր գանձարանը։ Քրիստոսակեդրոնութիւնը աստ</w:t>
      </w:r>
      <w:r>
        <w:rPr>
          <w:rFonts w:ascii="Sylfaen" w:hAnsi="Sylfaen"/>
          <w:sz w:val="28"/>
          <w:szCs w:val="28"/>
        </w:rPr>
        <w:t>ո</w:t>
      </w:r>
      <w:r w:rsidRPr="008C3EB4">
        <w:rPr>
          <w:rFonts w:ascii="Sylfaen" w:hAnsi="Sylfaen"/>
          <w:sz w:val="28"/>
          <w:szCs w:val="28"/>
        </w:rPr>
        <w:t>ւած</w:t>
      </w:r>
      <w:r>
        <w:rPr>
          <w:rFonts w:ascii="Sylfaen" w:hAnsi="Sylfaen"/>
          <w:sz w:val="28"/>
          <w:szCs w:val="28"/>
        </w:rPr>
        <w:t>-</w:t>
      </w:r>
      <w:r w:rsidRPr="008C3EB4">
        <w:rPr>
          <w:rFonts w:ascii="Sylfaen" w:hAnsi="Sylfaen"/>
          <w:sz w:val="28"/>
          <w:szCs w:val="28"/>
        </w:rPr>
        <w:t>պաշտութեան նախապայմանն է. որովհետեւ Աստուած Իր աշխարհ ղրկած Միածին Որդիով մեղաւոր մարդկութեան փրկութիւնը երաշ-խաւորեց։ Աստուածպաշտութեամբ մենք կը տօնախմբենք Յիսուս Քրիս</w:t>
      </w:r>
      <w:r>
        <w:rPr>
          <w:rFonts w:ascii="Sylfaen" w:hAnsi="Sylfaen"/>
          <w:sz w:val="28"/>
          <w:szCs w:val="28"/>
        </w:rPr>
        <w:t>-</w:t>
      </w:r>
      <w:r w:rsidRPr="008C3EB4">
        <w:rPr>
          <w:rFonts w:ascii="Sylfaen" w:hAnsi="Sylfaen"/>
          <w:sz w:val="28"/>
          <w:szCs w:val="28"/>
        </w:rPr>
        <w:t>տոսով մեր փրկութեան արժանացած ըլլալը՝ որպէս յաւիտենական եւ երջանկալից հաղորդակցութիւն Աստուծոյ հետ՝ Ս. Հոգիին ներգոր</w:t>
      </w:r>
      <w:r>
        <w:rPr>
          <w:rFonts w:ascii="Sylfaen" w:hAnsi="Sylfaen"/>
          <w:sz w:val="28"/>
          <w:szCs w:val="28"/>
        </w:rPr>
        <w:t>-</w:t>
      </w:r>
      <w:r w:rsidRPr="008C3EB4">
        <w:rPr>
          <w:rFonts w:ascii="Sylfaen" w:hAnsi="Sylfaen"/>
          <w:sz w:val="28"/>
          <w:szCs w:val="28"/>
        </w:rPr>
        <w:t>ծութեամբ։ Աստուածպաշտութիւնը մեր պատասխանն է «ո՞վ էր/ո՞վ է Քրիստոս» եւ «ի՞նչ ըրաւ/ի՞նչ կ</w:t>
      </w:r>
      <w:r>
        <w:rPr>
          <w:rFonts w:ascii="Sylfaen" w:hAnsi="Sylfaen"/>
          <w:sz w:val="28"/>
          <w:szCs w:val="28"/>
        </w:rPr>
        <w:t>՚</w:t>
      </w:r>
      <w:r w:rsidRPr="008C3EB4">
        <w:rPr>
          <w:rFonts w:ascii="Sylfaen" w:hAnsi="Sylfaen"/>
          <w:sz w:val="28"/>
          <w:szCs w:val="28"/>
        </w:rPr>
        <w:t>ընէ այսօր Քրիստոս» վճռական հար</w:t>
      </w:r>
      <w:r>
        <w:rPr>
          <w:rFonts w:ascii="Sylfaen" w:hAnsi="Sylfaen"/>
          <w:sz w:val="28"/>
          <w:szCs w:val="28"/>
        </w:rPr>
        <w:t>-</w:t>
      </w:r>
      <w:r w:rsidRPr="008C3EB4">
        <w:rPr>
          <w:rFonts w:ascii="Sylfaen" w:hAnsi="Sylfaen"/>
          <w:sz w:val="28"/>
          <w:szCs w:val="28"/>
        </w:rPr>
        <w:t>ցումներուն։ ԶԱստուած՝ Հայրը, Որդին եւ Ս. Հոգին պաշտել կը նշանակէ յայտարարել եւ տօնախմբել այն նոր կեանքը, որ Աստուած եկեղեցւոյ նուիրեց Իր Որդիին միջոցաւ։ Քրիստոնեային համար քրիստոնէութիւնը կեանք է. որովհետեւ, Քրիստոս յաւիտենական կեանքն է, ինչպէս Ի՛նք ըսաւ. </w:t>
      </w:r>
      <w:r w:rsidRPr="008C3EB4">
        <w:rPr>
          <w:rFonts w:ascii="Sylfaen" w:hAnsi="Sylfaen"/>
          <w:i/>
          <w:iCs/>
          <w:sz w:val="28"/>
          <w:szCs w:val="28"/>
        </w:rPr>
        <w:t>«Ես եկայ, որ կեանք ունենան եւ առաւել կեանք ունենան»</w:t>
      </w:r>
      <w:r w:rsidRPr="008C3EB4">
        <w:rPr>
          <w:rFonts w:ascii="Sylfaen" w:hAnsi="Sylfaen"/>
          <w:sz w:val="28"/>
          <w:szCs w:val="28"/>
        </w:rPr>
        <w:t> (Յհ 10.10)։</w:t>
      </w:r>
    </w:p>
    <w:p w14:paraId="147D42D5"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Քրիստոնէութեան զօրութիւնը, անշուշտ կ</w:t>
      </w:r>
      <w:r>
        <w:rPr>
          <w:rFonts w:ascii="Sylfaen" w:hAnsi="Sylfaen"/>
          <w:sz w:val="28"/>
          <w:szCs w:val="28"/>
        </w:rPr>
        <w:t>՚</w:t>
      </w:r>
      <w:r w:rsidRPr="008C3EB4">
        <w:rPr>
          <w:rFonts w:ascii="Sylfaen" w:hAnsi="Sylfaen"/>
          <w:sz w:val="28"/>
          <w:szCs w:val="28"/>
        </w:rPr>
        <w:t>ակնարկեմ բարոյական, հոգեւոր զօրութեան, իր համայնական կեանքն է, որ կը մարմնանայ եկեղեցւոյ, քրիստոնեայ աստուածպաշտական համայնքին, տրուած չորս յատկանիշերով՝ մէկ, ընդհանրական, առաքելական եւ սուրբ։</w:t>
      </w:r>
    </w:p>
    <w:p w14:paraId="24799BC7"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ա. Եկեղեցին մէկ է, որովհետեւ Աստուած մէկ է։ Քրիստոնէութիւնը կը հաւատայ մէկ աստուածութեան եւ կը սահմանէ զայն, ըսելով. «Երեք անձեր՝ Հայր, Որդի եւ Ս. Հոգի, եւ մէկ բնութիւն՝ աստուածութիւն»։</w:t>
      </w:r>
    </w:p>
    <w:p w14:paraId="6859F62F"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բ. Եկեղեցին ընդհանրական է, տիեզերական է։ Սա կը նշանակէ, թէ ան կ</w:t>
      </w:r>
      <w:r>
        <w:rPr>
          <w:rFonts w:ascii="Sylfaen" w:hAnsi="Sylfaen"/>
          <w:sz w:val="28"/>
          <w:szCs w:val="28"/>
        </w:rPr>
        <w:t>՚</w:t>
      </w:r>
      <w:r w:rsidRPr="008C3EB4">
        <w:rPr>
          <w:rFonts w:ascii="Sylfaen" w:hAnsi="Sylfaen"/>
          <w:sz w:val="28"/>
          <w:szCs w:val="28"/>
        </w:rPr>
        <w:t>անդրանցնի իր աշխարհիկ սահմաններն ու սահմանափակումները եւ կը հասնի մինչեւ Աստուծոյ փառքի աթոռը՝ երկնային թագաւորութիւն։ Եկեղեցւոյ ընդհանրականութիւնը նաեւ ցոյց կու տայ անոր բոլոր մարդ</w:t>
      </w:r>
      <w:r>
        <w:rPr>
          <w:rFonts w:ascii="Sylfaen" w:hAnsi="Sylfaen"/>
          <w:sz w:val="28"/>
          <w:szCs w:val="28"/>
        </w:rPr>
        <w:t>-</w:t>
      </w:r>
      <w:r w:rsidRPr="008C3EB4">
        <w:rPr>
          <w:rFonts w:ascii="Sylfaen" w:hAnsi="Sylfaen"/>
          <w:sz w:val="28"/>
          <w:szCs w:val="28"/>
        </w:rPr>
        <w:t>կութեան պատկանիլը, եւ այս մանաւանդ կը ցոլայ եկեղեցւոյ ընկերային բարեգործութեան եւ դաստիարակութեան բնագաւառներուն մէջ։</w:t>
      </w:r>
    </w:p>
    <w:p w14:paraId="5E46618F"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lastRenderedPageBreak/>
        <w:t>գ. Եկեղեցին առաքելական է, որովհետեւ կը շարունակէ Քրիստոսի առաքելութիւնը ծաւալել աշխարհի մէջ։ Ինչ որ Քրիստոս Իր տնօրինական կեանքին մէջ ֆիզիքական մարմինով կատարեց, հիմա Իր խորհրդական մարմինով՝ եկեղեցիով կը կատարէ։</w:t>
      </w:r>
    </w:p>
    <w:p w14:paraId="4D1987C9"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դ. Եկեղեցին սուրբ է, որովհետեւ Աստուած սուրբ է եւ մեզ եւս Իր սրբութեան հաղորդակից կը դարձնէ, մեզ կը սրբացնէ՝ որպէսզի որպէս սրբացած՝ զատուած համայնք զԻնք պաշտենք եւ Իր սրբութիւնը ցո</w:t>
      </w:r>
      <w:r>
        <w:rPr>
          <w:rFonts w:ascii="Sylfaen" w:hAnsi="Sylfaen"/>
          <w:sz w:val="28"/>
          <w:szCs w:val="28"/>
        </w:rPr>
        <w:t>-</w:t>
      </w:r>
      <w:r w:rsidRPr="008C3EB4">
        <w:rPr>
          <w:rFonts w:ascii="Sylfaen" w:hAnsi="Sylfaen"/>
          <w:sz w:val="28"/>
          <w:szCs w:val="28"/>
        </w:rPr>
        <w:t>լացնենք։</w:t>
      </w:r>
    </w:p>
    <w:p w14:paraId="677B05E1"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Հայ եկեղեցւոյ աստուածպաշտութիւնը կը կատարենք այն կարգ-կանոնով, որ անոր գերագոյն իշխանութիւնը, եկեղեցւոյ պետին՝ կաթո-ղիկոսին նախագահած ընդհանուր ժողովը, զայն տնօրինած է անցեալին եւ այսօր եւս պէտք է կարգաւորէ՝ կեանքի թաւալող պայմաններուն յարմարելու համար։</w:t>
      </w:r>
    </w:p>
    <w:p w14:paraId="759D7D19"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Աստուածպաշտութիւնը միայն արտաքին արա</w:t>
      </w:r>
      <w:r w:rsidRPr="008C3EB4">
        <w:rPr>
          <w:rFonts w:ascii="Sylfaen" w:hAnsi="Sylfaen"/>
          <w:sz w:val="28"/>
          <w:szCs w:val="28"/>
        </w:rPr>
        <w:softHyphen/>
        <w:t>րողութիւններով չի՛ սահմանափակուիր, այլ միշտ կը զուգորդուի մարդկային ներքին ապ-րումներուն եւ անոնց հայելին կը դառնայ։ Այսինքն, աստուածպաշ-տութիւնը</w:t>
      </w:r>
      <w:r>
        <w:rPr>
          <w:rFonts w:ascii="Sylfaen" w:hAnsi="Sylfaen"/>
          <w:sz w:val="28"/>
          <w:szCs w:val="28"/>
        </w:rPr>
        <w:t xml:space="preserve"> </w:t>
      </w:r>
      <w:r w:rsidRPr="008C3EB4">
        <w:rPr>
          <w:rFonts w:ascii="Sylfaen" w:hAnsi="Sylfaen"/>
          <w:sz w:val="28"/>
          <w:szCs w:val="28"/>
        </w:rPr>
        <w:t>գերազանցօրէն հոգեւոր է, որովհետեւ Քրիստոս կը յորդորէ.</w:t>
      </w:r>
      <w:r>
        <w:rPr>
          <w:rFonts w:ascii="Sylfaen" w:hAnsi="Sylfaen"/>
          <w:sz w:val="28"/>
          <w:szCs w:val="28"/>
        </w:rPr>
        <w:t xml:space="preserve"> </w:t>
      </w:r>
      <w:r w:rsidRPr="008C3EB4">
        <w:rPr>
          <w:rFonts w:ascii="Sylfaen" w:hAnsi="Sylfaen"/>
          <w:i/>
          <w:iCs/>
          <w:sz w:val="28"/>
          <w:szCs w:val="28"/>
        </w:rPr>
        <w:t>«Հոգի է Աստուած, եւ անոր երկրպագուները պէտք է հոգիով եւ ճշմարտու</w:t>
      </w:r>
      <w:r w:rsidRPr="008C3EB4">
        <w:rPr>
          <w:rFonts w:ascii="Sylfaen" w:hAnsi="Sylfaen"/>
          <w:i/>
          <w:iCs/>
          <w:sz w:val="28"/>
          <w:szCs w:val="28"/>
        </w:rPr>
        <w:softHyphen/>
        <w:t>թեամբ զայն պաշտեն»</w:t>
      </w:r>
      <w:r w:rsidRPr="008C3EB4">
        <w:rPr>
          <w:rFonts w:ascii="Sylfaen" w:hAnsi="Sylfaen"/>
          <w:sz w:val="28"/>
          <w:szCs w:val="28"/>
        </w:rPr>
        <w:t> (Յհ 4.24)։ Այս պատճառաւ՝ աստուածպաշտութ</w:t>
      </w:r>
      <w:r>
        <w:rPr>
          <w:rFonts w:ascii="Sylfaen" w:hAnsi="Sylfaen"/>
          <w:sz w:val="28"/>
          <w:szCs w:val="28"/>
        </w:rPr>
        <w:t>-</w:t>
      </w:r>
      <w:r w:rsidRPr="008C3EB4">
        <w:rPr>
          <w:rFonts w:ascii="Sylfaen" w:hAnsi="Sylfaen"/>
          <w:sz w:val="28"/>
          <w:szCs w:val="28"/>
        </w:rPr>
        <w:t>եան բոլոր արարողութիւնները հա</w:t>
      </w:r>
      <w:r w:rsidRPr="008C3EB4">
        <w:rPr>
          <w:rFonts w:ascii="Sylfaen" w:hAnsi="Sylfaen"/>
          <w:sz w:val="28"/>
          <w:szCs w:val="28"/>
        </w:rPr>
        <w:softHyphen/>
        <w:t>ւատ</w:t>
      </w:r>
      <w:r w:rsidRPr="008C3EB4">
        <w:rPr>
          <w:rFonts w:ascii="Sylfaen" w:hAnsi="Sylfaen"/>
          <w:sz w:val="28"/>
          <w:szCs w:val="28"/>
        </w:rPr>
        <w:softHyphen/>
        <w:t>քով, հոգիին սնուցումով, կը կա</w:t>
      </w:r>
      <w:r>
        <w:rPr>
          <w:rFonts w:ascii="Sylfaen" w:hAnsi="Sylfaen"/>
          <w:sz w:val="28"/>
          <w:szCs w:val="28"/>
        </w:rPr>
        <w:t>-</w:t>
      </w:r>
      <w:r w:rsidRPr="008C3EB4">
        <w:rPr>
          <w:rFonts w:ascii="Sylfaen" w:hAnsi="Sylfaen"/>
          <w:sz w:val="28"/>
          <w:szCs w:val="28"/>
        </w:rPr>
        <w:t>տարուին, միտքին մէջ կը տպա</w:t>
      </w:r>
      <w:r w:rsidRPr="008C3EB4">
        <w:rPr>
          <w:rFonts w:ascii="Sylfaen" w:hAnsi="Sylfaen"/>
          <w:sz w:val="28"/>
          <w:szCs w:val="28"/>
        </w:rPr>
        <w:softHyphen/>
        <w:t>ւոր</w:t>
      </w:r>
      <w:r w:rsidRPr="008C3EB4">
        <w:rPr>
          <w:rFonts w:ascii="Sylfaen" w:hAnsi="Sylfaen"/>
          <w:sz w:val="28"/>
          <w:szCs w:val="28"/>
        </w:rPr>
        <w:softHyphen/>
        <w:t>են քրիստոնէական ուսուցումները եւ սիրտին մէջ սէր կ</w:t>
      </w:r>
      <w:r>
        <w:rPr>
          <w:rFonts w:ascii="Sylfaen" w:hAnsi="Sylfaen"/>
          <w:sz w:val="28"/>
          <w:szCs w:val="28"/>
        </w:rPr>
        <w:t>՚</w:t>
      </w:r>
      <w:r w:rsidRPr="008C3EB4">
        <w:rPr>
          <w:rFonts w:ascii="Sylfaen" w:hAnsi="Sylfaen"/>
          <w:sz w:val="28"/>
          <w:szCs w:val="28"/>
        </w:rPr>
        <w:t>արթնցնեն առա</w:t>
      </w:r>
      <w:r w:rsidRPr="008C3EB4">
        <w:rPr>
          <w:rFonts w:ascii="Sylfaen" w:hAnsi="Sylfaen"/>
          <w:sz w:val="28"/>
          <w:szCs w:val="28"/>
        </w:rPr>
        <w:softHyphen/>
        <w:t>քինի կեանքին նկատմամբ։ Միայն այսպիսի աստուածպաշտութիւնը Աստուծոյ սրբու</w:t>
      </w:r>
      <w:r w:rsidRPr="008C3EB4">
        <w:rPr>
          <w:rFonts w:ascii="Sylfaen" w:hAnsi="Sylfaen"/>
          <w:sz w:val="28"/>
          <w:szCs w:val="28"/>
        </w:rPr>
        <w:softHyphen/>
        <w:t>թեան ու մեծութեան կը պատշաճի եւ հոգիի ու մարմինի կատարեալ մաքրութեամբ կը դրսե</w:t>
      </w:r>
      <w:r>
        <w:rPr>
          <w:rFonts w:ascii="Sylfaen" w:hAnsi="Sylfaen"/>
          <w:sz w:val="28"/>
          <w:szCs w:val="28"/>
        </w:rPr>
        <w:t>-</w:t>
      </w:r>
      <w:r w:rsidRPr="008C3EB4">
        <w:rPr>
          <w:rFonts w:ascii="Sylfaen" w:hAnsi="Sylfaen"/>
          <w:sz w:val="28"/>
          <w:szCs w:val="28"/>
        </w:rPr>
        <w:t>ւորուի։ </w:t>
      </w:r>
    </w:p>
    <w:p w14:paraId="35D52BA8"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Աստուածաբանութիւնը, Աստուծոյ մասին խօսիլը, աստուածպաշ-տութեամբ կը սկսի եւ իր նպատակն իսկ աստուածպաշտութիւնն է։ «Այնպէս ինչպէս կ</w:t>
      </w:r>
      <w:r>
        <w:rPr>
          <w:rFonts w:ascii="Sylfaen" w:hAnsi="Sylfaen"/>
          <w:sz w:val="28"/>
          <w:szCs w:val="28"/>
        </w:rPr>
        <w:t>՚</w:t>
      </w:r>
      <w:r w:rsidRPr="008C3EB4">
        <w:rPr>
          <w:rFonts w:ascii="Sylfaen" w:hAnsi="Sylfaen"/>
          <w:sz w:val="28"/>
          <w:szCs w:val="28"/>
        </w:rPr>
        <w:t>աղօթենք, այնպէս ալ կը հաւատանք» (lex orandi, lex credendi) հաստատումը քրիստոնեաներուն կեանքն իսկ է։</w:t>
      </w:r>
    </w:p>
    <w:p w14:paraId="4DF8A45F"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p>
    <w:p w14:paraId="56C6B045"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Բ. Ի՞նչ կը կատարենք աստուածպաշտութեան ընթացքին</w:t>
      </w:r>
    </w:p>
    <w:p w14:paraId="1F652627"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Աստուածպաշտութեան ընթացքին, հակառակ մեր մարդկային սահ</w:t>
      </w:r>
      <w:r>
        <w:rPr>
          <w:rFonts w:ascii="Sylfaen" w:hAnsi="Sylfaen"/>
          <w:sz w:val="28"/>
          <w:szCs w:val="28"/>
        </w:rPr>
        <w:t>-</w:t>
      </w:r>
      <w:r w:rsidRPr="008C3EB4">
        <w:rPr>
          <w:rFonts w:ascii="Sylfaen" w:hAnsi="Sylfaen"/>
          <w:sz w:val="28"/>
          <w:szCs w:val="28"/>
        </w:rPr>
        <w:t>մանափակութիւններուն, հետեւեալները կը կատարենք.</w:t>
      </w:r>
    </w:p>
    <w:p w14:paraId="06756CE7"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ա. Երկրպագութիւն/պաշտում (adoration)։ Կը գիտակցինք, թէ Աստ</w:t>
      </w:r>
      <w:r>
        <w:rPr>
          <w:rFonts w:ascii="Sylfaen" w:hAnsi="Sylfaen"/>
          <w:sz w:val="28"/>
          <w:szCs w:val="28"/>
        </w:rPr>
        <w:t>-</w:t>
      </w:r>
      <w:r w:rsidRPr="008C3EB4">
        <w:rPr>
          <w:rFonts w:ascii="Sylfaen" w:hAnsi="Sylfaen"/>
          <w:sz w:val="28"/>
          <w:szCs w:val="28"/>
        </w:rPr>
        <w:t xml:space="preserve">ւած անհասանելի է եւ միաժամանակ նախաձեռնող է՝ Ինք կը հասնի մեզի, </w:t>
      </w:r>
      <w:r w:rsidRPr="008C3EB4">
        <w:rPr>
          <w:rFonts w:ascii="Sylfaen" w:hAnsi="Sylfaen"/>
          <w:sz w:val="28"/>
          <w:szCs w:val="28"/>
        </w:rPr>
        <w:lastRenderedPageBreak/>
        <w:t>Ինքզինք կը յայտնէ Իր Որդիին միջոցաւ եւ Ս. Հոգիին ներգործութեամբ։ Մեր երկրպագութեան/պաշտումի գերազանց եւ շօշափելի արտայայ</w:t>
      </w:r>
      <w:r>
        <w:rPr>
          <w:rFonts w:ascii="Sylfaen" w:hAnsi="Sylfaen"/>
          <w:sz w:val="28"/>
          <w:szCs w:val="28"/>
        </w:rPr>
        <w:t>-</w:t>
      </w:r>
      <w:r w:rsidRPr="008C3EB4">
        <w:rPr>
          <w:rFonts w:ascii="Sylfaen" w:hAnsi="Sylfaen"/>
          <w:sz w:val="28"/>
          <w:szCs w:val="28"/>
        </w:rPr>
        <w:t>տութիւնը Աստուծոյ սրբութիւնը յայտարարելն է՝ ինչպէս կ</w:t>
      </w:r>
      <w:r>
        <w:rPr>
          <w:rFonts w:ascii="Sylfaen" w:hAnsi="Sylfaen"/>
          <w:sz w:val="28"/>
          <w:szCs w:val="28"/>
        </w:rPr>
        <w:t>՚</w:t>
      </w:r>
      <w:r w:rsidRPr="008C3EB4">
        <w:rPr>
          <w:rFonts w:ascii="Sylfaen" w:hAnsi="Sylfaen"/>
          <w:sz w:val="28"/>
          <w:szCs w:val="28"/>
        </w:rPr>
        <w:t>երգենք սուրբ պատարագի ընթացքին. «Սո՜ւրբ, սո՜ւրբ, սո՜ւրբ ես, տիեզերքի՛ Տէր։ Երկինք ու երկիր փառքովդ են լեցուն։ Օրհնութի՜ւն քեզի՝ բարձունքներուն մէջ։ Օրհնեալ ես դուն, որ Տիրոջ անունով կու գաս։ Ովսաննա՜ բարձունքներուն մէջ»։</w:t>
      </w:r>
    </w:p>
    <w:p w14:paraId="61DF9F60"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բ. Յայտարարութիւն (proclamation)։ Աստուածաշնչական ընթեր-ցումներու եւ քարոզի ճամբով Աստուած կը յայտնուի ու կը խօսի մեզի եւ մենք աստուածային յայտնութեան ու խօսքին կը պատասխանենք, հաստատելով. «Աստուած է, որ կը խօսի»։  </w:t>
      </w:r>
    </w:p>
    <w:p w14:paraId="5AF20E53"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գ. Գոհաբանութիւն (thanksgiving)։ Գոհութիւն կը յայտնենք Աստու-ծոյ՝ մանաւանդ Քրիստոսով մեզի շնորհած Իր փրկութեան համար։ Մեր գոհաբանութիւնը միաժամանակ մեր հաւատքին խոստովանութիւնն է՝ երբ մեր ուղղափառ հաւատքով կը յայտարարենք, թէ մենք եւս աստ</w:t>
      </w:r>
      <w:r>
        <w:rPr>
          <w:rFonts w:ascii="Sylfaen" w:hAnsi="Sylfaen"/>
          <w:sz w:val="28"/>
          <w:szCs w:val="28"/>
        </w:rPr>
        <w:t>-</w:t>
      </w:r>
      <w:r w:rsidRPr="008C3EB4">
        <w:rPr>
          <w:rFonts w:ascii="Sylfaen" w:hAnsi="Sylfaen"/>
          <w:sz w:val="28"/>
          <w:szCs w:val="28"/>
        </w:rPr>
        <w:t>ւածային փրկագործութեան ծրագիրին մէջ ներառնուած ենք ու պար</w:t>
      </w:r>
      <w:r>
        <w:rPr>
          <w:rFonts w:ascii="Sylfaen" w:hAnsi="Sylfaen"/>
          <w:sz w:val="28"/>
          <w:szCs w:val="28"/>
        </w:rPr>
        <w:t>-</w:t>
      </w:r>
      <w:r w:rsidRPr="008C3EB4">
        <w:rPr>
          <w:rFonts w:ascii="Sylfaen" w:hAnsi="Sylfaen"/>
          <w:sz w:val="28"/>
          <w:szCs w:val="28"/>
        </w:rPr>
        <w:t>տաւոր ենք որդիաբար եւ խոնարհաբար մեր երախտագիտութիւնը յայտնել Իրեն այս պարգեւին համար։ Ա՛յս իսկ է գոհաբանութիւնը՝ յունարէն “eucharistia”-ն իր հարազատ հասկացողութեամբ։</w:t>
      </w:r>
    </w:p>
    <w:p w14:paraId="131C67F0"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դ. Յանձնառութիւն (commitment)։ Աստուածպաշտութիւնը ցոյց կու տայ, թէ մեղքէն ետդարձ կը կատարենք եւ Աստուծոյ հնազանդութեան կը դառնանք՝ մեր ազատ կամքով։ Մեր յանձնառութիւնը կ</w:t>
      </w:r>
      <w:r>
        <w:rPr>
          <w:rFonts w:ascii="Sylfaen" w:hAnsi="Sylfaen"/>
          <w:sz w:val="28"/>
          <w:szCs w:val="28"/>
        </w:rPr>
        <w:t>՚</w:t>
      </w:r>
      <w:r w:rsidRPr="008C3EB4">
        <w:rPr>
          <w:rFonts w:ascii="Sylfaen" w:hAnsi="Sylfaen"/>
          <w:sz w:val="28"/>
          <w:szCs w:val="28"/>
        </w:rPr>
        <w:t>արտայայտենք վստահութիւն, գութ, թողութիւն, զոհագործութիւն եւ ասոնց նման բառերու օգտագործումով։</w:t>
      </w:r>
    </w:p>
    <w:p w14:paraId="43CC173D" w14:textId="3F5B090F"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ե. Խնդրանք ու բարեխօսութիւն (petition and intercession)։ </w:t>
      </w:r>
      <w:r w:rsidRPr="008C3EB4">
        <w:rPr>
          <w:rFonts w:ascii="Sylfaen" w:hAnsi="Sylfaen"/>
          <w:i/>
          <w:iCs/>
          <w:sz w:val="28"/>
          <w:szCs w:val="28"/>
        </w:rPr>
        <w:t>The Study of Liturgy</w:t>
      </w:r>
      <w:r w:rsidRPr="008C3EB4">
        <w:rPr>
          <w:rFonts w:ascii="Sylfaen" w:hAnsi="Sylfaen"/>
          <w:sz w:val="28"/>
          <w:szCs w:val="28"/>
        </w:rPr>
        <w:t> գիրքը խնդրանքն ու բարեխօսութիւնը արդի կեանքին հետ զուգոր</w:t>
      </w:r>
      <w:r w:rsidR="007B5AF7">
        <w:rPr>
          <w:rFonts w:ascii="Sylfaen" w:hAnsi="Sylfaen"/>
          <w:sz w:val="28"/>
          <w:szCs w:val="28"/>
        </w:rPr>
        <w:t>-</w:t>
      </w:r>
      <w:r w:rsidRPr="008C3EB4">
        <w:rPr>
          <w:rFonts w:ascii="Sylfaen" w:hAnsi="Sylfaen"/>
          <w:sz w:val="28"/>
          <w:szCs w:val="28"/>
        </w:rPr>
        <w:t>դելով, կ</w:t>
      </w:r>
      <w:r>
        <w:rPr>
          <w:rFonts w:ascii="Sylfaen" w:hAnsi="Sylfaen"/>
          <w:sz w:val="28"/>
          <w:szCs w:val="28"/>
        </w:rPr>
        <w:t>՚</w:t>
      </w:r>
      <w:r w:rsidRPr="008C3EB4">
        <w:rPr>
          <w:rFonts w:ascii="Sylfaen" w:hAnsi="Sylfaen"/>
          <w:sz w:val="28"/>
          <w:szCs w:val="28"/>
        </w:rPr>
        <w:t>ըսէ. «Աստուածպաշտութեան բառապաշարը հոս է, որ աւելի կը նմանի հեռատեսիլի լրատւութեան բաժինին, երբ սովի ու առատութեան, պատերազմի ու խաղաղութեան, աշխատանքի ու հաճոյքի, յաջողութ</w:t>
      </w:r>
      <w:r w:rsidR="007B5AF7">
        <w:rPr>
          <w:rFonts w:ascii="Sylfaen" w:hAnsi="Sylfaen"/>
          <w:sz w:val="28"/>
          <w:szCs w:val="28"/>
        </w:rPr>
        <w:t>-</w:t>
      </w:r>
      <w:r w:rsidRPr="008C3EB4">
        <w:rPr>
          <w:rFonts w:ascii="Sylfaen" w:hAnsi="Sylfaen"/>
          <w:sz w:val="28"/>
          <w:szCs w:val="28"/>
        </w:rPr>
        <w:t>իւններու ու ձախողութիւններու աշխարհը կը ներկայացնենք Աստուծոյ՝ այն վստահութեամբ, որ Ան պիտի պատասխանէ մեզի եւ մեզ պիտի առնչէ Իր գալիք թագաւորութեան» (էջ 522)։</w:t>
      </w:r>
    </w:p>
    <w:p w14:paraId="07A449B8"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 xml:space="preserve">զ. Ակնկալութիւն (anticipation)։ Աստուածպաշտութեամբ հաւա-տացեալներ կը վայելեն իրենց վախճանականութեան նախաճաշակը. օրինակ՝ սուրբ պատարագի մեսիական ընթրիքը եւ Աստուծոյ մշտական </w:t>
      </w:r>
      <w:r w:rsidRPr="008C3EB4">
        <w:rPr>
          <w:rFonts w:ascii="Sylfaen" w:hAnsi="Sylfaen"/>
          <w:sz w:val="28"/>
          <w:szCs w:val="28"/>
        </w:rPr>
        <w:lastRenderedPageBreak/>
        <w:t>ներկայութեան երջանկութիւնը ըմբոշխնելու պահը կ</w:t>
      </w:r>
      <w:r>
        <w:rPr>
          <w:rFonts w:ascii="Sylfaen" w:hAnsi="Sylfaen"/>
          <w:sz w:val="28"/>
          <w:szCs w:val="28"/>
        </w:rPr>
        <w:t>՚</w:t>
      </w:r>
      <w:r w:rsidRPr="008C3EB4">
        <w:rPr>
          <w:rFonts w:ascii="Sylfaen" w:hAnsi="Sylfaen"/>
          <w:sz w:val="28"/>
          <w:szCs w:val="28"/>
        </w:rPr>
        <w:t>երկարաձգուի այս կեանքէն մինչեւ յաւիտենական կեանք։</w:t>
      </w:r>
    </w:p>
    <w:p w14:paraId="44ACC10E"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p>
    <w:p w14:paraId="32770C2E"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Գ. Որո՞նք են աստուածպաշտութեան արտայայտութեան </w:t>
      </w:r>
    </w:p>
    <w:p w14:paraId="1C1B0F3D"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զանազան բնագաւառները</w:t>
      </w:r>
    </w:p>
    <w:p w14:paraId="5524586C"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Եկեղեցւոյ մէջ աստուածպաշտութիւնը մասնաւորաբար հետեւեալ բնագաւառներուն ընդմէջէն կ</w:t>
      </w:r>
      <w:r>
        <w:rPr>
          <w:rFonts w:ascii="Sylfaen" w:hAnsi="Sylfaen"/>
          <w:sz w:val="28"/>
          <w:szCs w:val="28"/>
        </w:rPr>
        <w:t>՚</w:t>
      </w:r>
      <w:r w:rsidRPr="008C3EB4">
        <w:rPr>
          <w:rFonts w:ascii="Sylfaen" w:hAnsi="Sylfaen"/>
          <w:sz w:val="28"/>
          <w:szCs w:val="28"/>
        </w:rPr>
        <w:t>արտայայտուի.</w:t>
      </w:r>
    </w:p>
    <w:p w14:paraId="6E610917"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r>
        <w:rPr>
          <w:rFonts w:ascii="Sylfaen" w:hAnsi="Sylfaen"/>
          <w:sz w:val="28"/>
          <w:szCs w:val="28"/>
        </w:rPr>
        <w:tab/>
      </w:r>
      <w:r w:rsidRPr="008C3EB4">
        <w:rPr>
          <w:rFonts w:ascii="Sylfaen" w:hAnsi="Sylfaen"/>
          <w:sz w:val="28"/>
          <w:szCs w:val="28"/>
        </w:rPr>
        <w:t>ա. Ժամերգութիւններ (prayer hours)։ Ասոնք (թիւով իննը՝ (ա) գիշերային, (բ) առաւօտեան, (գ) արեւագալի, (դ) ճաշու երրորդ, (ե) ճաշու վեցերորդ, (զ) ճաշու իններորդ, (է) երեկոյեան, (ը) խաղաղական, (թ) հանգստեան) եկեղեցւոյ ամենօրեայ աստուածպաշտական հաւաքական աղօթական ժամերն են եւ զԱստուած անդադար օրհնաբանող հրեշ</w:t>
      </w:r>
      <w:r>
        <w:rPr>
          <w:rFonts w:ascii="Sylfaen" w:hAnsi="Sylfaen"/>
          <w:sz w:val="28"/>
          <w:szCs w:val="28"/>
        </w:rPr>
        <w:t>-</w:t>
      </w:r>
      <w:r w:rsidRPr="008C3EB4">
        <w:rPr>
          <w:rFonts w:ascii="Sylfaen" w:hAnsi="Sylfaen"/>
          <w:sz w:val="28"/>
          <w:szCs w:val="28"/>
        </w:rPr>
        <w:t>տակներուն իննը դասերը (աթոռներ, քերովբէներ, սերովբէներ, տէրութ</w:t>
      </w:r>
      <w:r>
        <w:rPr>
          <w:rFonts w:ascii="Sylfaen" w:hAnsi="Sylfaen"/>
          <w:sz w:val="28"/>
          <w:szCs w:val="28"/>
        </w:rPr>
        <w:t>-</w:t>
      </w:r>
      <w:r w:rsidRPr="008C3EB4">
        <w:rPr>
          <w:rFonts w:ascii="Sylfaen" w:hAnsi="Sylfaen"/>
          <w:sz w:val="28"/>
          <w:szCs w:val="28"/>
        </w:rPr>
        <w:t>իւններ, զօրութիւններ, իշխանութիւններ, պետութիւններ, հրեշտակա</w:t>
      </w:r>
      <w:r>
        <w:rPr>
          <w:rFonts w:ascii="Sylfaen" w:hAnsi="Sylfaen"/>
          <w:sz w:val="28"/>
          <w:szCs w:val="28"/>
        </w:rPr>
        <w:t>-</w:t>
      </w:r>
      <w:r w:rsidRPr="008C3EB4">
        <w:rPr>
          <w:rFonts w:ascii="Sylfaen" w:hAnsi="Sylfaen"/>
          <w:sz w:val="28"/>
          <w:szCs w:val="28"/>
        </w:rPr>
        <w:t>պետեր, հրեշտակներ) կը խորհրդանշեն։</w:t>
      </w:r>
    </w:p>
    <w:p w14:paraId="1BA699BD"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r>
        <w:rPr>
          <w:rFonts w:ascii="Sylfaen" w:hAnsi="Sylfaen"/>
          <w:sz w:val="28"/>
          <w:szCs w:val="28"/>
        </w:rPr>
        <w:tab/>
      </w:r>
      <w:r w:rsidRPr="008C3EB4">
        <w:rPr>
          <w:rFonts w:ascii="Sylfaen" w:hAnsi="Sylfaen"/>
          <w:sz w:val="28"/>
          <w:szCs w:val="28"/>
        </w:rPr>
        <w:t>բ. Օրեր։ Եկեղեցւոյ օրերը երեք տեսակ են. (ա) տէրունի՝ Քրիստոսի նուիրուած տօներ եւ անոնց առնչուած յիշատակութիւններու տօներ (օրինակ, Ս. Աստուածածնի տօներ), (բ) հայ եւ օտար սուրբերու նուիրուած տօներ եւ (գ) պահքի օրեր։</w:t>
      </w:r>
    </w:p>
    <w:p w14:paraId="6164AE2A"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r>
        <w:rPr>
          <w:rFonts w:ascii="Sylfaen" w:hAnsi="Sylfaen"/>
          <w:sz w:val="28"/>
          <w:szCs w:val="28"/>
        </w:rPr>
        <w:tab/>
      </w:r>
      <w:r w:rsidRPr="008C3EB4">
        <w:rPr>
          <w:rFonts w:ascii="Sylfaen" w:hAnsi="Sylfaen"/>
          <w:sz w:val="28"/>
          <w:szCs w:val="28"/>
        </w:rPr>
        <w:t>գ. Խորհուրդներ (sacraments)։ Խորհուրդ կը նշանակէ հաւատքով ընկալուած անտեսանելի շնորհքներուն ստացման տեսանելի նշանը (օրինակ՝ մկրտութեամբ ենթական քրիստոնեայ կը դառնայ), որ կ</w:t>
      </w:r>
      <w:r>
        <w:rPr>
          <w:rFonts w:ascii="Sylfaen" w:hAnsi="Sylfaen"/>
          <w:sz w:val="28"/>
          <w:szCs w:val="28"/>
        </w:rPr>
        <w:t>՚</w:t>
      </w:r>
      <w:r w:rsidRPr="008C3EB4">
        <w:rPr>
          <w:rFonts w:ascii="Sylfaen" w:hAnsi="Sylfaen"/>
          <w:sz w:val="28"/>
          <w:szCs w:val="28"/>
        </w:rPr>
        <w:t>իրա-գործուի տեսանելի գործողութիւններու (ծէս), խօսքերու (աղօթք, շարա-կան եւ այլն) եւ անձերու (քահանայ, կնքահայր եւ այլն) միջոցաւ խորհուրդի մատակարարումով՝ ենթական Ս. Երրորդութեան հետ անխզելի յարաբերութեան մէջ դնելու համար։ Եկեղեցին ունի եօթը խորհուրդներ. (ա) մկրտութիւն, որ հաւատքի խորհուրդն է, (բ) դրոշմ, որ յոյսի խորհուրդն է, (գ) ապաշխարութիւն, որ արդարութեան ու մաք-րութեան խորհուրդն է, (դ) հաղորդութիւն, որ սիրոյ ու խաղաղութեան խորհուրդն է, (ե) պսակ ամուսնութեան, որ ողջախոհութեան ու մաքուր կեանքի խորհուրդն է, (զ) ձեռնադրութիւն, որ հոգեւոր կոչումի, շնորհքի ու իմաստութեան ստացման  խորհուրդն է, (է) կարգ հիւանդներու-վերջին օծում, որ յաւիտենական կեանքի ժառանգութեան ու հոգիի փրկութեան խորհուրդն է։</w:t>
      </w:r>
    </w:p>
    <w:p w14:paraId="6E7A7E89"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lastRenderedPageBreak/>
        <w:t>         </w:t>
      </w:r>
      <w:r>
        <w:rPr>
          <w:rFonts w:ascii="Sylfaen" w:hAnsi="Sylfaen"/>
          <w:sz w:val="28"/>
          <w:szCs w:val="28"/>
        </w:rPr>
        <w:tab/>
      </w:r>
      <w:r w:rsidRPr="008C3EB4">
        <w:rPr>
          <w:rFonts w:ascii="Sylfaen" w:hAnsi="Sylfaen"/>
          <w:sz w:val="28"/>
          <w:szCs w:val="28"/>
        </w:rPr>
        <w:t>դ. Սուրբ պատարագ եւ սուրբ հաղորդութիւն։ Հակառակ որ վերեւ յիշուած խորհուրդներուն չորրորդն է այս, սակայն զայն պէտք է նաեւ առանձնացնել, որովհետեւ նոյնինքն քրիստոնէութեան սիրտը կը հան-դիսանայ՝ երբ աստուածպաշտութեան համար հաւաքուածներ Քրիս-տոսը նշխար/մարմինի եւ գինի/արիւնի ընդմէջէն որպէս անարիւն զոհ կը վերընծայեն Ս. Երրորդութեան, կը փառաւորեն զԱստուած, որդիաբար կը մօտենան սուրբ սեղանին եւ ապա արժանաւոր ճաշակումով զՔրիստոս կ</w:t>
      </w:r>
      <w:r>
        <w:rPr>
          <w:rFonts w:ascii="Sylfaen" w:hAnsi="Sylfaen"/>
          <w:sz w:val="28"/>
          <w:szCs w:val="28"/>
        </w:rPr>
        <w:t>՚</w:t>
      </w:r>
      <w:r w:rsidRPr="008C3EB4">
        <w:rPr>
          <w:rFonts w:ascii="Sylfaen" w:hAnsi="Sylfaen"/>
          <w:sz w:val="28"/>
          <w:szCs w:val="28"/>
        </w:rPr>
        <w:t>ընդունին որպէս սուրբ հաղորդութիւն՝ պատասխանելով նոյնինքն Անոր հրահանգ-հրաւէրին, ու յարութեան եւ յաւիտենական կեանքի պտուղը կը քաղեն (տե՛ս Մտ 26.17–30, Մր 14.12–26, Ղկ 22.7–20, Յհ 13.21–30, Ա. Կր 11.23–26)։</w:t>
      </w:r>
    </w:p>
    <w:p w14:paraId="6C554295"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r>
        <w:rPr>
          <w:rFonts w:ascii="Sylfaen" w:hAnsi="Sylfaen"/>
          <w:sz w:val="28"/>
          <w:szCs w:val="28"/>
        </w:rPr>
        <w:tab/>
      </w:r>
      <w:r w:rsidRPr="008C3EB4">
        <w:rPr>
          <w:rFonts w:ascii="Sylfaen" w:hAnsi="Sylfaen"/>
          <w:sz w:val="28"/>
          <w:szCs w:val="28"/>
        </w:rPr>
        <w:t>ե. Հոգեւոր բարեպաշտական արարողութիւններ (օրինակ՝ խաչա-կընքում, մոմավառութիւն, խնկարկութիւն, երկրպագութիւն, տնօրհնէք, անդաստան, գերեզմանօրհնէք, հոգեհանգիստ, ուխտագնացութիւն եւ այլն)։ </w:t>
      </w:r>
    </w:p>
    <w:p w14:paraId="1DE82EDD"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p>
    <w:p w14:paraId="6F5A9AF1"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Դ. Ինչպէ՞ս կը կատարենք աստուածպաշտութիւնը</w:t>
      </w:r>
    </w:p>
    <w:p w14:paraId="01F6F469"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r>
        <w:rPr>
          <w:rFonts w:ascii="Sylfaen" w:hAnsi="Sylfaen"/>
          <w:sz w:val="28"/>
          <w:szCs w:val="28"/>
        </w:rPr>
        <w:tab/>
      </w:r>
      <w:r w:rsidRPr="008C3EB4">
        <w:rPr>
          <w:rFonts w:ascii="Sylfaen" w:hAnsi="Sylfaen"/>
          <w:sz w:val="28"/>
          <w:szCs w:val="28"/>
        </w:rPr>
        <w:t>Աստուածպաշտութիւն կատարելու համար կ</w:t>
      </w:r>
      <w:r>
        <w:rPr>
          <w:rFonts w:ascii="Sylfaen" w:hAnsi="Sylfaen"/>
          <w:sz w:val="28"/>
          <w:szCs w:val="28"/>
        </w:rPr>
        <w:t>՚</w:t>
      </w:r>
      <w:r w:rsidRPr="008C3EB4">
        <w:rPr>
          <w:rFonts w:ascii="Sylfaen" w:hAnsi="Sylfaen"/>
          <w:sz w:val="28"/>
          <w:szCs w:val="28"/>
        </w:rPr>
        <w:t>օգտագործենք երեւելի տարրեր. (ա) Աստուածաշունչ (օրինակ՝ սաղմոսներ), (բ) եկեղեցական գիրքեր (օրինակ՝ տօնացոյց), (գ) հոգեւոր երաժշտութիւն (օրինակ՝ մեղե</w:t>
      </w:r>
      <w:r>
        <w:rPr>
          <w:rFonts w:ascii="Sylfaen" w:hAnsi="Sylfaen"/>
          <w:sz w:val="28"/>
          <w:szCs w:val="28"/>
        </w:rPr>
        <w:t>-</w:t>
      </w:r>
      <w:r w:rsidRPr="008C3EB4">
        <w:rPr>
          <w:rFonts w:ascii="Sylfaen" w:hAnsi="Sylfaen"/>
          <w:sz w:val="28"/>
          <w:szCs w:val="28"/>
        </w:rPr>
        <w:t>դի), (դ) հոգեւոր լեզու (օրինակ՝ աղօթք), (ե) քարոզախօսութիւն (օրինակ՝ պատարագիչի քարոզ), (զ) ծիսական համակարգ (օրինակ՝ տնօրհնէք կա</w:t>
      </w:r>
      <w:r>
        <w:rPr>
          <w:rFonts w:ascii="Sylfaen" w:hAnsi="Sylfaen"/>
          <w:sz w:val="28"/>
          <w:szCs w:val="28"/>
        </w:rPr>
        <w:t>-</w:t>
      </w:r>
      <w:r w:rsidRPr="008C3EB4">
        <w:rPr>
          <w:rFonts w:ascii="Sylfaen" w:hAnsi="Sylfaen"/>
          <w:sz w:val="28"/>
          <w:szCs w:val="28"/>
        </w:rPr>
        <w:t>տարելու եղանակ), (է) ճարտարապետական կառոյց (օրինակ՝ եկեղեցւոյ շէնք), (ը) նիւթեղէն տարրեր (օրինակ՝ մկրտութեան ջուր), (թ) զգեստներ (օրինակ՝ սաղաւարտ), (ժ) սրբազան իրեր (օրինակ՝ ձեռքի խաչ)։</w:t>
      </w:r>
    </w:p>
    <w:p w14:paraId="7A0AFFFC"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r>
        <w:rPr>
          <w:rFonts w:ascii="Sylfaen" w:hAnsi="Sylfaen"/>
          <w:sz w:val="28"/>
          <w:szCs w:val="28"/>
        </w:rPr>
        <w:tab/>
      </w:r>
      <w:r w:rsidRPr="008C3EB4">
        <w:rPr>
          <w:rFonts w:ascii="Sylfaen" w:hAnsi="Sylfaen"/>
          <w:sz w:val="28"/>
          <w:szCs w:val="28"/>
        </w:rPr>
        <w:t>Ասոնք արտաքին օժանդակներ են մեր ամբողջական մասնակ-ցութիւնը ապահովելու համար աստուածպաշտութեան։ Մեր հաւատքը կատարեալ կերպով արտայայտելու եւ մեր աստուածպաշտութիւնը Աս</w:t>
      </w:r>
      <w:r>
        <w:rPr>
          <w:rFonts w:ascii="Sylfaen" w:hAnsi="Sylfaen"/>
          <w:sz w:val="28"/>
          <w:szCs w:val="28"/>
        </w:rPr>
        <w:t>-</w:t>
      </w:r>
      <w:r w:rsidRPr="008C3EB4">
        <w:rPr>
          <w:rFonts w:ascii="Sylfaen" w:hAnsi="Sylfaen"/>
          <w:sz w:val="28"/>
          <w:szCs w:val="28"/>
        </w:rPr>
        <w:t>տուծոյ ընդունելի դարձնելու համար մեր բովանդակ էութիւնը (մարմին, միտք ու հոգի) կը մասնակցի աստուածպաշտութեան եւ արտաքին ազդակներ (խնկարկել, կայնիլ, նստիլ, երկրպագել, ձեռքերը միացնել, բազուկները բարձրացնել, թափօր դառնալ եւ այլն) կը լրացնեն այն ինչ, որ չենք կրնար այլապէս արտայայտել։ Այս բոլորին ամբողջութիւնը կը կոչուի արարողութիւն կամ ծէս. այսինքն խորհրդաւոր բան մը ընել ճշդուած կանոններու եւ ձեւերու համաձայն (ordo)։</w:t>
      </w:r>
    </w:p>
    <w:p w14:paraId="130B6E53"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lastRenderedPageBreak/>
        <w:t>Ե. Ինչպէ՞ս աստուածպաշտութիւնը կը ներթափանցէ </w:t>
      </w:r>
    </w:p>
    <w:p w14:paraId="38940F4A"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մեր ամենօրեայ կեանքին մէջ</w:t>
      </w:r>
    </w:p>
    <w:p w14:paraId="231B5902"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Եկեղեցի ըլլալ կը նշանակէ զԱստուած պաշտել ամեն տեղ եւ կեանքի ամեն շրջագիծերէն ներս։ Այսինքն եկեղեցւոյ շէնքէն դուրս գալէն յետոյ աշխարհ երթալ՝ որպէս առաքեալներ զԱստուած տանելու եւ որպէս սուրբ ժողովուրդ զԻնք համայնական կեանքով ապրելու՝ աստուած</w:t>
      </w:r>
      <w:r>
        <w:rPr>
          <w:rFonts w:ascii="Sylfaen" w:hAnsi="Sylfaen"/>
          <w:sz w:val="28"/>
          <w:szCs w:val="28"/>
        </w:rPr>
        <w:t>-</w:t>
      </w:r>
      <w:r w:rsidRPr="008C3EB4">
        <w:rPr>
          <w:rFonts w:ascii="Sylfaen" w:hAnsi="Sylfaen"/>
          <w:sz w:val="28"/>
          <w:szCs w:val="28"/>
        </w:rPr>
        <w:t>պաշտութեան ընդմէջէն մեզի յայտնուած աստուածային կամքը միայն գործադրելու առաջադրանքով։</w:t>
      </w:r>
    </w:p>
    <w:p w14:paraId="6B32745F"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Այս յանձնառութիւնը կը սահմանուի որպէս «աստուածպաշտութ-իւնը աստուածպաշտութենէն յետոյ» եւ իր գործնականութիւնը կը դրսե-ւորէ կարգ մը մարզերէ ներս, որոնց հպանցիկ թւումով կը գոհանամ.</w:t>
      </w:r>
    </w:p>
    <w:p w14:paraId="09A747C4"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ա. Ընկերային բարեգործութիւն։ Եկեղեցին ո՛չ միայն կ</w:t>
      </w:r>
      <w:r>
        <w:rPr>
          <w:rFonts w:ascii="Sylfaen" w:hAnsi="Sylfaen"/>
          <w:sz w:val="28"/>
          <w:szCs w:val="28"/>
        </w:rPr>
        <w:t>՚</w:t>
      </w:r>
      <w:r w:rsidRPr="008C3EB4">
        <w:rPr>
          <w:rFonts w:ascii="Sylfaen" w:hAnsi="Sylfaen"/>
          <w:sz w:val="28"/>
          <w:szCs w:val="28"/>
        </w:rPr>
        <w:t>աղօթէ ընկե</w:t>
      </w:r>
      <w:r>
        <w:rPr>
          <w:rFonts w:ascii="Sylfaen" w:hAnsi="Sylfaen"/>
          <w:sz w:val="28"/>
          <w:szCs w:val="28"/>
        </w:rPr>
        <w:t>-</w:t>
      </w:r>
      <w:r w:rsidRPr="008C3EB4">
        <w:rPr>
          <w:rFonts w:ascii="Sylfaen" w:hAnsi="Sylfaen"/>
          <w:sz w:val="28"/>
          <w:szCs w:val="28"/>
        </w:rPr>
        <w:t>րային անարդարութեան զոհ դարձած անկեալին, զրկեալին, տնանկին եւ խեղճին համար՝ այլ իր առաքելութեան անքակտելի մասը կը նկատէ օգնել անոնց եւ միաժամանակ պայքարիլ խաղաղութեան, արդարութեան, մարդկային արժանապատւութեան, ընկերային հաւասարութեան ու բնապահպանութեան համար։  </w:t>
      </w:r>
    </w:p>
    <w:p w14:paraId="7178E937"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բ. Դաստիարակութիւն եւ կրթութիւն։ Իր համայնքային եւ կրօնա-կան դպրոցներուն ճամբով եւ բազմաթիւ այլ նախաձեռնութիւններով (դասախօսութիւն, Աստուածաշունչի սերտողութիւն եւ այլն) եկեղեցին զԱստուած կը տանի մանուկ, պատանի, երիտասարդ եւ չափահաս սերունդներուն՝ եւ զանոնք աստուածպաշտութեան կը վարժեցնէ՝ զայն կեանքին շաղախելու սկզբունքէն մեկնած։ </w:t>
      </w:r>
    </w:p>
    <w:p w14:paraId="4697D9F7"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գ. Միջ-եկեղեցական եւ միջ-կրօնական յարաբերութիւններ։ Մարդ-կային կեանքը փոխ-յարաբերութիւններու վրայ հիմնուած է։ Եկեղեցին իր շրջապատին մէջ գտնուող եկեղեցական եւ կրօնական կառոյցներուն հետ բարի դրացնութիւն կը մշակէ եւ կարելիութեան սահմաններուն մէջ կը գործակցի՝ համամարդկային բարիքին համար։ Մանաւանդ այսօր, հա</w:t>
      </w:r>
      <w:r>
        <w:rPr>
          <w:rFonts w:ascii="Sylfaen" w:hAnsi="Sylfaen"/>
          <w:sz w:val="28"/>
          <w:szCs w:val="28"/>
        </w:rPr>
        <w:t>-</w:t>
      </w:r>
      <w:r w:rsidRPr="008C3EB4">
        <w:rPr>
          <w:rFonts w:ascii="Sylfaen" w:hAnsi="Sylfaen"/>
          <w:sz w:val="28"/>
          <w:szCs w:val="28"/>
        </w:rPr>
        <w:t>մաշխարհայնացման բերած «բաց» աշխարհին մէջ, այս յարաբերութ</w:t>
      </w:r>
      <w:r>
        <w:rPr>
          <w:rFonts w:ascii="Sylfaen" w:hAnsi="Sylfaen"/>
          <w:sz w:val="28"/>
          <w:szCs w:val="28"/>
        </w:rPr>
        <w:t>-</w:t>
      </w:r>
      <w:r w:rsidRPr="008C3EB4">
        <w:rPr>
          <w:rFonts w:ascii="Sylfaen" w:hAnsi="Sylfaen"/>
          <w:sz w:val="28"/>
          <w:szCs w:val="28"/>
        </w:rPr>
        <w:t>իւնները կարելի չէ նեղ շրջագիծի մէջ սահմանափակել։</w:t>
      </w:r>
    </w:p>
    <w:p w14:paraId="4A91C3A7"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 xml:space="preserve">դ. Խորհուրդներու բացայայտում։ Այս դասախօսութեան մէջ գոր-ծածուած խորհրդաւոր եւ խորհուրդ սահմանումները պէտք չէ շփոթել խորհրդանշութեան (symbolism) հետ։ Եկեղեցւոյ խորհուրդները գաղտ-նագիտական փակ դռներ բանալու համար չեն, այլ Քրիստոս-Խորհուրդը </w:t>
      </w:r>
      <w:r w:rsidRPr="008C3EB4">
        <w:rPr>
          <w:rFonts w:ascii="Sylfaen" w:hAnsi="Sylfaen"/>
          <w:sz w:val="28"/>
          <w:szCs w:val="28"/>
        </w:rPr>
        <w:lastRenderedPageBreak/>
        <w:t>կենդանի եւ կենդանացնող ներգործութիւն դարձնող աստուածատուր միջոցներ են։ </w:t>
      </w:r>
    </w:p>
    <w:p w14:paraId="550BBF39" w14:textId="77777777" w:rsidR="00516606" w:rsidRPr="008C3EB4" w:rsidRDefault="00516606" w:rsidP="00516606">
      <w:pPr>
        <w:pStyle w:val="FootnoteText"/>
        <w:ind w:firstLine="720"/>
        <w:jc w:val="both"/>
        <w:rPr>
          <w:rFonts w:ascii="Sylfaen" w:hAnsi="Sylfaen"/>
          <w:sz w:val="28"/>
          <w:szCs w:val="28"/>
        </w:rPr>
      </w:pPr>
      <w:r w:rsidRPr="008C3EB4">
        <w:rPr>
          <w:rFonts w:ascii="Sylfaen" w:hAnsi="Sylfaen"/>
          <w:sz w:val="28"/>
          <w:szCs w:val="28"/>
        </w:rPr>
        <w:t>ե. Մշակութային տարրերու ընդելուզում (inculturation)։ Իւրաքան-չիւր ընկերութիւն (ընտանիք, հաւաքականութիւն, կազմակերպութիւն, քաղաք, երկիր, ազգ եւ այլն) ունի իր մշակոյթը, որ փոխ-ազդեցութ</w:t>
      </w:r>
      <w:r>
        <w:rPr>
          <w:rFonts w:ascii="Sylfaen" w:hAnsi="Sylfaen"/>
          <w:sz w:val="28"/>
          <w:szCs w:val="28"/>
        </w:rPr>
        <w:t>-</w:t>
      </w:r>
      <w:r w:rsidRPr="008C3EB4">
        <w:rPr>
          <w:rFonts w:ascii="Sylfaen" w:hAnsi="Sylfaen"/>
          <w:sz w:val="28"/>
          <w:szCs w:val="28"/>
        </w:rPr>
        <w:t>իւններու կ</w:t>
      </w:r>
      <w:r>
        <w:rPr>
          <w:rFonts w:ascii="Sylfaen" w:hAnsi="Sylfaen"/>
          <w:sz w:val="28"/>
          <w:szCs w:val="28"/>
        </w:rPr>
        <w:t>՚</w:t>
      </w:r>
      <w:r w:rsidRPr="008C3EB4">
        <w:rPr>
          <w:rFonts w:ascii="Sylfaen" w:hAnsi="Sylfaen"/>
          <w:sz w:val="28"/>
          <w:szCs w:val="28"/>
        </w:rPr>
        <w:t>ենթարկուի եւ կեանքի հոլովոյթին հետ քայլ կը պահէ։ </w:t>
      </w:r>
    </w:p>
    <w:p w14:paraId="3EB3DA94"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p>
    <w:p w14:paraId="14D536AF" w14:textId="77777777" w:rsidR="00516606" w:rsidRPr="008C3EB4" w:rsidRDefault="00516606" w:rsidP="00516606">
      <w:pPr>
        <w:pStyle w:val="FootnoteText"/>
        <w:jc w:val="both"/>
        <w:rPr>
          <w:rFonts w:ascii="Sylfaen" w:hAnsi="Sylfaen"/>
          <w:sz w:val="28"/>
          <w:szCs w:val="28"/>
        </w:rPr>
      </w:pPr>
      <w:r w:rsidRPr="008C3EB4">
        <w:rPr>
          <w:rFonts w:ascii="Sylfaen" w:hAnsi="Sylfaen"/>
          <w:b/>
          <w:bCs/>
          <w:sz w:val="28"/>
          <w:szCs w:val="28"/>
        </w:rPr>
        <w:t>Զ. Եզրակացութիւն</w:t>
      </w:r>
    </w:p>
    <w:p w14:paraId="529FA606"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Քրիստոնէութիւնը յայտնութենական (revelatory) կրօն է եւ աստ-ւածպաշտութիւնը Քրիստոսի աստուածայայտնութեամբ (epiphany) պայմանաւորուած է՝ որուն պատասխանն է եկեղեցւոյ աստուածա-միութեան (theosis) ձգտումը։ Եկեղեցին ինչ որ կը կատարէ Քրիստոսո՛վ կը կատարէ՝ Հօր փառքին համար եւ Ս. Հոգիին առաջնորդութեամբ։ </w:t>
      </w:r>
    </w:p>
    <w:p w14:paraId="51B114D6"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Հայ եկեղեցւոյ մեծ սուրբերէն Ս. Գրիգոր Նարեկացի (945–1003) սուրբ պատարագի աղօթքներէն մէկուն մէջ Ս. Հոգիին դիմելով այնքա՜ն գեղեցկօրէն սեղմ տողերու մէջ կը բանաձեւէ աստուածպաշտութիւնը, որ որպէս յարմարագոյն եզրակացութիւն կը փոխանցեմ ձեզի եւ անով կը փակեմ խօսքս. «Մեզ ազատէ՛ բոլոր անմաքուր գործերէն, որոնք հաճելի չեն քու բնակութեանդ համար. եւ չըլլա՜յ որ մեր միտքերու իմացական աչքերուն մէջ շիջին շնորհքներուդ լոյսին փայլումները. որովհետեւ սորվեցանք, թէ մեր աղօթքներով եւ խնկաբոյր ընտիր վարքով է որ մեզի կը միանաս» (</w:t>
      </w:r>
      <w:r w:rsidRPr="008C3EB4">
        <w:rPr>
          <w:rFonts w:ascii="Sylfaen" w:hAnsi="Sylfaen"/>
          <w:i/>
          <w:iCs/>
          <w:sz w:val="28"/>
          <w:szCs w:val="28"/>
        </w:rPr>
        <w:t>Խորհրդատետր սրբազան պատարագի</w:t>
      </w:r>
      <w:r w:rsidRPr="008C3EB4">
        <w:rPr>
          <w:rFonts w:ascii="Sylfaen" w:hAnsi="Sylfaen"/>
          <w:sz w:val="28"/>
          <w:szCs w:val="28"/>
        </w:rPr>
        <w:t>, էջ 32–33)։</w:t>
      </w:r>
    </w:p>
    <w:p w14:paraId="11793BB9"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 </w:t>
      </w:r>
    </w:p>
    <w:p w14:paraId="72F4E3D9"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Նոր Ջուղա-Իրան                                                       </w:t>
      </w:r>
      <w:r>
        <w:rPr>
          <w:rFonts w:ascii="Sylfaen" w:hAnsi="Sylfaen"/>
          <w:sz w:val="28"/>
          <w:szCs w:val="28"/>
        </w:rPr>
        <w:t xml:space="preserve">  </w:t>
      </w:r>
      <w:r w:rsidRPr="008C3EB4">
        <w:rPr>
          <w:rFonts w:ascii="Sylfaen" w:hAnsi="Sylfaen"/>
          <w:sz w:val="28"/>
          <w:szCs w:val="28"/>
        </w:rPr>
        <w:t>Նարեկ արք. Ալեէմէզեան</w:t>
      </w:r>
    </w:p>
    <w:p w14:paraId="37D5EC26" w14:textId="77777777" w:rsidR="00516606" w:rsidRPr="008C3EB4" w:rsidRDefault="00516606" w:rsidP="00516606">
      <w:pPr>
        <w:pStyle w:val="FootnoteText"/>
        <w:jc w:val="both"/>
        <w:rPr>
          <w:rFonts w:ascii="Sylfaen" w:hAnsi="Sylfaen"/>
          <w:sz w:val="28"/>
          <w:szCs w:val="28"/>
        </w:rPr>
      </w:pPr>
      <w:r w:rsidRPr="008C3EB4">
        <w:rPr>
          <w:rFonts w:ascii="Sylfaen" w:hAnsi="Sylfaen"/>
          <w:sz w:val="28"/>
          <w:szCs w:val="28"/>
        </w:rPr>
        <w:t>2 փետրուար 2012</w:t>
      </w:r>
    </w:p>
    <w:p w14:paraId="24D1526F" w14:textId="3814F9B1" w:rsidR="00516606" w:rsidRPr="008C3EB4" w:rsidRDefault="00516606" w:rsidP="00516606">
      <w:pPr>
        <w:pStyle w:val="FootnoteText"/>
        <w:rPr>
          <w:rFonts w:ascii="Sylfaen" w:hAnsi="Sylfaen"/>
          <w:sz w:val="28"/>
          <w:szCs w:val="28"/>
        </w:rPr>
      </w:pPr>
    </w:p>
    <w:p w14:paraId="0D5443FE" w14:textId="77777777" w:rsidR="00516606" w:rsidRPr="008C3EB4" w:rsidRDefault="00516606" w:rsidP="00516606">
      <w:pPr>
        <w:pStyle w:val="FootnoteText"/>
        <w:rPr>
          <w:rFonts w:ascii="Sylfaen" w:hAnsi="Sylfaen"/>
          <w:sz w:val="28"/>
          <w:szCs w:val="28"/>
        </w:rPr>
      </w:pPr>
      <w:r w:rsidRPr="008C3EB4">
        <w:rPr>
          <w:rFonts w:ascii="Sylfaen" w:hAnsi="Sylfaen"/>
          <w:sz w:val="28"/>
          <w:szCs w:val="28"/>
        </w:rPr>
        <w:t> </w:t>
      </w:r>
    </w:p>
    <w:p w14:paraId="182C82F3" w14:textId="77777777" w:rsidR="00611102" w:rsidRDefault="00611102" w:rsidP="00516606">
      <w:pPr>
        <w:pStyle w:val="FootnoteText"/>
        <w:rPr>
          <w:rFonts w:ascii="Sylfaen" w:hAnsi="Sylfaen"/>
          <w:sz w:val="28"/>
          <w:szCs w:val="28"/>
        </w:rPr>
      </w:pPr>
    </w:p>
    <w:p w14:paraId="74C12EAD" w14:textId="17BBBC1E" w:rsidR="00516606" w:rsidRPr="008C3EB4" w:rsidRDefault="00516606" w:rsidP="00516606">
      <w:pPr>
        <w:pStyle w:val="FootnoteText"/>
        <w:rPr>
          <w:rFonts w:ascii="Sylfaen" w:hAnsi="Sylfaen"/>
          <w:sz w:val="28"/>
          <w:szCs w:val="28"/>
        </w:rPr>
      </w:pPr>
      <w:r w:rsidRPr="008C3EB4">
        <w:rPr>
          <w:rFonts w:ascii="Sylfaen" w:hAnsi="Sylfaen"/>
          <w:sz w:val="28"/>
          <w:szCs w:val="28"/>
        </w:rPr>
        <w:t> </w:t>
      </w:r>
    </w:p>
    <w:p w14:paraId="3228A706" w14:textId="77777777" w:rsidR="00516606" w:rsidRPr="008C3EB4" w:rsidRDefault="00516606" w:rsidP="00516606">
      <w:pPr>
        <w:pStyle w:val="FootnoteText"/>
        <w:jc w:val="center"/>
        <w:rPr>
          <w:rFonts w:ascii="Sylfaen" w:hAnsi="Sylfaen"/>
          <w:sz w:val="28"/>
          <w:szCs w:val="28"/>
        </w:rPr>
      </w:pPr>
      <w:r w:rsidRPr="008C3EB4">
        <w:rPr>
          <w:rFonts w:ascii="Sylfaen" w:hAnsi="Sylfaen"/>
          <w:b/>
          <w:bCs/>
          <w:sz w:val="24"/>
          <w:szCs w:val="24"/>
          <w:u w:val="single"/>
        </w:rPr>
        <w:t>Օգտագործուած աղբիւրներ</w:t>
      </w:r>
    </w:p>
    <w:p w14:paraId="571B9D8E" w14:textId="77777777" w:rsidR="007B5AF7" w:rsidRDefault="007B5AF7" w:rsidP="00516606">
      <w:pPr>
        <w:pStyle w:val="FootnoteText"/>
        <w:jc w:val="both"/>
        <w:rPr>
          <w:rFonts w:ascii="Sylfaen" w:hAnsi="Sylfaen"/>
          <w:sz w:val="24"/>
          <w:szCs w:val="24"/>
        </w:rPr>
      </w:pPr>
    </w:p>
    <w:p w14:paraId="5C9C548A" w14:textId="22775599"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1.  </w:t>
      </w:r>
      <w:r w:rsidRPr="008C3EB4">
        <w:rPr>
          <w:rFonts w:ascii="Sylfaen" w:hAnsi="Sylfaen"/>
          <w:i/>
          <w:iCs/>
          <w:sz w:val="24"/>
          <w:szCs w:val="24"/>
        </w:rPr>
        <w:t>Խորհրդատետր սրբազան պատարագի</w:t>
      </w:r>
      <w:r w:rsidRPr="008C3EB4">
        <w:rPr>
          <w:rFonts w:ascii="Sylfaen" w:hAnsi="Sylfaen"/>
          <w:sz w:val="24"/>
          <w:szCs w:val="24"/>
        </w:rPr>
        <w:t>, աշխարհաբարի վերածեց Զարեհ Եպս. Ազնաւորեան, Անթիլիաս, 1999</w:t>
      </w:r>
    </w:p>
    <w:p w14:paraId="74641748"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2.  </w:t>
      </w:r>
      <w:r w:rsidRPr="008C3EB4">
        <w:rPr>
          <w:rFonts w:ascii="Sylfaen" w:hAnsi="Sylfaen"/>
          <w:i/>
          <w:iCs/>
          <w:sz w:val="24"/>
          <w:szCs w:val="24"/>
        </w:rPr>
        <w:t>Քրիստոնյա Հայաստան հանրագիտարան</w:t>
      </w:r>
      <w:r w:rsidRPr="008C3EB4">
        <w:rPr>
          <w:rFonts w:ascii="Sylfaen" w:hAnsi="Sylfaen"/>
          <w:sz w:val="24"/>
          <w:szCs w:val="24"/>
        </w:rPr>
        <w:t>, Երեվան, 2002</w:t>
      </w:r>
    </w:p>
    <w:p w14:paraId="3EDE2D9A"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3.  Բաբգէն կթղ. Կիւլէսէրեան, </w:t>
      </w:r>
      <w:r w:rsidRPr="008C3EB4">
        <w:rPr>
          <w:rFonts w:ascii="Sylfaen" w:hAnsi="Sylfaen"/>
          <w:i/>
          <w:iCs/>
          <w:sz w:val="24"/>
          <w:szCs w:val="24"/>
        </w:rPr>
        <w:t>Քրիստոնէական</w:t>
      </w:r>
      <w:r w:rsidRPr="008C3EB4">
        <w:rPr>
          <w:rFonts w:ascii="Sylfaen" w:hAnsi="Sylfaen"/>
          <w:sz w:val="24"/>
          <w:szCs w:val="24"/>
        </w:rPr>
        <w:t>, Անթիլիաս, 1971</w:t>
      </w:r>
    </w:p>
    <w:p w14:paraId="6C883DF1"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lastRenderedPageBreak/>
        <w:t>4.  Ստեփանոս աւ. քհյ. Մանդինեանց, </w:t>
      </w:r>
      <w:r w:rsidRPr="008C3EB4">
        <w:rPr>
          <w:rFonts w:ascii="Sylfaen" w:hAnsi="Sylfaen"/>
          <w:i/>
          <w:iCs/>
          <w:sz w:val="24"/>
          <w:szCs w:val="24"/>
        </w:rPr>
        <w:t>Աստուածպաշտութիւն Հայաստանեայց ուղ-ղափառ եկեղեցւոյ</w:t>
      </w:r>
      <w:r>
        <w:rPr>
          <w:rFonts w:ascii="Sylfaen" w:hAnsi="Sylfaen"/>
          <w:i/>
          <w:iCs/>
          <w:sz w:val="24"/>
          <w:szCs w:val="24"/>
        </w:rPr>
        <w:t xml:space="preserve"> </w:t>
      </w:r>
      <w:r w:rsidRPr="008C3EB4">
        <w:rPr>
          <w:rFonts w:ascii="Sylfaen" w:hAnsi="Sylfaen"/>
          <w:sz w:val="24"/>
          <w:szCs w:val="24"/>
        </w:rPr>
        <w:t>(վերահրատարակութիւն),</w:t>
      </w:r>
      <w:r>
        <w:rPr>
          <w:rFonts w:ascii="Sylfaen" w:hAnsi="Sylfaen"/>
          <w:sz w:val="24"/>
          <w:szCs w:val="24"/>
        </w:rPr>
        <w:t xml:space="preserve"> </w:t>
      </w:r>
      <w:r w:rsidRPr="008C3EB4">
        <w:rPr>
          <w:rFonts w:ascii="Sylfaen" w:hAnsi="Sylfaen"/>
          <w:sz w:val="24"/>
          <w:szCs w:val="24"/>
        </w:rPr>
        <w:t>արդի աշխարհաբարի վերածեց՝</w:t>
      </w:r>
      <w:r>
        <w:rPr>
          <w:rFonts w:ascii="Sylfaen" w:hAnsi="Sylfaen"/>
          <w:sz w:val="24"/>
          <w:szCs w:val="24"/>
        </w:rPr>
        <w:t xml:space="preserve"> </w:t>
      </w:r>
      <w:r w:rsidRPr="008C3EB4">
        <w:rPr>
          <w:rFonts w:ascii="Sylfaen" w:hAnsi="Sylfaen"/>
          <w:sz w:val="24"/>
          <w:szCs w:val="24"/>
        </w:rPr>
        <w:t>Վա</w:t>
      </w:r>
      <w:r>
        <w:rPr>
          <w:rFonts w:ascii="Sylfaen" w:hAnsi="Sylfaen"/>
          <w:sz w:val="24"/>
          <w:szCs w:val="24"/>
        </w:rPr>
        <w:t>-</w:t>
      </w:r>
      <w:r w:rsidRPr="008C3EB4">
        <w:rPr>
          <w:rFonts w:ascii="Sylfaen" w:hAnsi="Sylfaen"/>
          <w:sz w:val="24"/>
          <w:szCs w:val="24"/>
        </w:rPr>
        <w:t>րանդ վրդ. Քորթմոսեան, Անթիլիաս, 2010</w:t>
      </w:r>
    </w:p>
    <w:p w14:paraId="41BD2DF4" w14:textId="77777777" w:rsidR="00516606" w:rsidRPr="008C3EB4" w:rsidRDefault="00516606" w:rsidP="00516606">
      <w:pPr>
        <w:pStyle w:val="FootnoteText"/>
        <w:rPr>
          <w:rFonts w:ascii="Sylfaen" w:hAnsi="Sylfaen"/>
          <w:sz w:val="24"/>
          <w:szCs w:val="24"/>
        </w:rPr>
      </w:pPr>
      <w:r w:rsidRPr="008C3EB4">
        <w:rPr>
          <w:rFonts w:ascii="Sylfaen" w:hAnsi="Sylfaen"/>
          <w:sz w:val="24"/>
          <w:szCs w:val="24"/>
        </w:rPr>
        <w:t>5.  F.L. Cross, Ed., </w:t>
      </w:r>
      <w:r w:rsidRPr="008C3EB4">
        <w:rPr>
          <w:rFonts w:ascii="Sylfaen" w:hAnsi="Sylfaen"/>
          <w:i/>
          <w:iCs/>
          <w:sz w:val="24"/>
          <w:szCs w:val="24"/>
        </w:rPr>
        <w:t>The Oxford Dictionary of the Christian Church</w:t>
      </w:r>
      <w:r w:rsidRPr="008C3EB4">
        <w:rPr>
          <w:rFonts w:ascii="Sylfaen" w:hAnsi="Sylfaen"/>
          <w:sz w:val="24"/>
          <w:szCs w:val="24"/>
        </w:rPr>
        <w:t>, Oxford University Press, c1985</w:t>
      </w:r>
    </w:p>
    <w:p w14:paraId="1198B698"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6.  Stanley S. Harakas, </w:t>
      </w:r>
      <w:r w:rsidRPr="008C3EB4">
        <w:rPr>
          <w:rFonts w:ascii="Sylfaen" w:hAnsi="Sylfaen"/>
          <w:i/>
          <w:iCs/>
          <w:sz w:val="24"/>
          <w:szCs w:val="24"/>
        </w:rPr>
        <w:t>Living the Liturgy</w:t>
      </w:r>
      <w:r w:rsidRPr="008C3EB4">
        <w:rPr>
          <w:rFonts w:ascii="Sylfaen" w:hAnsi="Sylfaen"/>
          <w:sz w:val="24"/>
          <w:szCs w:val="24"/>
        </w:rPr>
        <w:t>, Light &amp; Life Publications Company, c1974</w:t>
      </w:r>
    </w:p>
    <w:p w14:paraId="2AA1AD9A"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7.  Cheslyn Jones, Geoffrey Wainwright, Edward Yarnold SJ and Paul Bradshaw, Ed., </w:t>
      </w:r>
      <w:r w:rsidRPr="008C3EB4">
        <w:rPr>
          <w:rFonts w:ascii="Sylfaen" w:hAnsi="Sylfaen"/>
          <w:i/>
          <w:iCs/>
          <w:sz w:val="24"/>
          <w:szCs w:val="24"/>
        </w:rPr>
        <w:t>The Study of Liturgy</w:t>
      </w:r>
      <w:r w:rsidRPr="008C3EB4">
        <w:rPr>
          <w:rFonts w:ascii="Sylfaen" w:hAnsi="Sylfaen"/>
          <w:sz w:val="24"/>
          <w:szCs w:val="24"/>
        </w:rPr>
        <w:t>, London, c1992</w:t>
      </w:r>
    </w:p>
    <w:p w14:paraId="178DB242"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8.  Archbishop Diran Nersoyan, </w:t>
      </w:r>
      <w:r w:rsidRPr="008C3EB4">
        <w:rPr>
          <w:rFonts w:ascii="Sylfaen" w:hAnsi="Sylfaen"/>
          <w:i/>
          <w:iCs/>
          <w:sz w:val="24"/>
          <w:szCs w:val="24"/>
        </w:rPr>
        <w:t>Armenian Church Historical Studies</w:t>
      </w:r>
      <w:r w:rsidRPr="008C3EB4">
        <w:rPr>
          <w:rFonts w:ascii="Sylfaen" w:hAnsi="Sylfaen"/>
          <w:sz w:val="24"/>
          <w:szCs w:val="24"/>
        </w:rPr>
        <w:t>, New York City, c1996</w:t>
      </w:r>
    </w:p>
    <w:p w14:paraId="31FC4221" w14:textId="77777777" w:rsidR="00516606" w:rsidRPr="008C3EB4" w:rsidRDefault="00516606" w:rsidP="00516606">
      <w:pPr>
        <w:pStyle w:val="FootnoteText"/>
        <w:jc w:val="both"/>
        <w:rPr>
          <w:rFonts w:ascii="Sylfaen" w:hAnsi="Sylfaen"/>
          <w:sz w:val="24"/>
          <w:szCs w:val="24"/>
        </w:rPr>
      </w:pPr>
      <w:r w:rsidRPr="008C3EB4">
        <w:rPr>
          <w:rFonts w:ascii="Sylfaen" w:hAnsi="Sylfaen"/>
          <w:sz w:val="24"/>
          <w:szCs w:val="24"/>
        </w:rPr>
        <w:t>9.  Alexander Schmemann, </w:t>
      </w:r>
      <w:r w:rsidRPr="008C3EB4">
        <w:rPr>
          <w:rFonts w:ascii="Sylfaen" w:hAnsi="Sylfaen"/>
          <w:i/>
          <w:iCs/>
          <w:sz w:val="24"/>
          <w:szCs w:val="24"/>
        </w:rPr>
        <w:t>The Eucharist</w:t>
      </w:r>
      <w:r w:rsidRPr="008C3EB4">
        <w:rPr>
          <w:rFonts w:ascii="Sylfaen" w:hAnsi="Sylfaen"/>
          <w:sz w:val="24"/>
          <w:szCs w:val="24"/>
        </w:rPr>
        <w:t>, New York, c2000</w:t>
      </w:r>
    </w:p>
    <w:p w14:paraId="3581AFA6" w14:textId="77777777" w:rsidR="00516606" w:rsidRPr="008C3EB4" w:rsidRDefault="00516606" w:rsidP="00516606">
      <w:pPr>
        <w:pStyle w:val="FootnoteText"/>
        <w:tabs>
          <w:tab w:val="left" w:pos="709"/>
        </w:tabs>
        <w:rPr>
          <w:rFonts w:ascii="Sylfaen" w:hAnsi="Sylfaen"/>
          <w:sz w:val="24"/>
          <w:szCs w:val="24"/>
        </w:rPr>
      </w:pPr>
      <w:r w:rsidRPr="008C3EB4">
        <w:rPr>
          <w:rFonts w:ascii="Sylfaen" w:hAnsi="Sylfaen"/>
          <w:sz w:val="24"/>
          <w:szCs w:val="24"/>
        </w:rPr>
        <w:t>10. Alexander Schmemann, </w:t>
      </w:r>
      <w:r w:rsidRPr="008C3EB4">
        <w:rPr>
          <w:rFonts w:ascii="Sylfaen" w:hAnsi="Sylfaen"/>
          <w:i/>
          <w:iCs/>
          <w:sz w:val="24"/>
          <w:szCs w:val="24"/>
        </w:rPr>
        <w:t>Introduction to Liturgical Theology</w:t>
      </w:r>
      <w:r w:rsidRPr="008C3EB4">
        <w:rPr>
          <w:rFonts w:ascii="Sylfaen" w:hAnsi="Sylfaen"/>
          <w:sz w:val="24"/>
          <w:szCs w:val="24"/>
        </w:rPr>
        <w:t>, New York, c2003</w:t>
      </w:r>
    </w:p>
    <w:p w14:paraId="37DF7CDE"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621FF2" w14:textId="77777777" w:rsidR="003F45B7" w:rsidRDefault="003F45B7" w:rsidP="00516606">
      <w:r>
        <w:separator/>
      </w:r>
    </w:p>
  </w:endnote>
  <w:endnote w:type="continuationSeparator" w:id="0">
    <w:p w14:paraId="50E8EA84" w14:textId="77777777" w:rsidR="003F45B7" w:rsidRDefault="003F45B7" w:rsidP="00516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3244025"/>
      <w:docPartObj>
        <w:docPartGallery w:val="Page Numbers (Bottom of Page)"/>
        <w:docPartUnique/>
      </w:docPartObj>
    </w:sdtPr>
    <w:sdtContent>
      <w:p w14:paraId="2A236595" w14:textId="3F36E1F8" w:rsidR="00516606" w:rsidRDefault="0051660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8450026" w14:textId="77777777" w:rsidR="00516606" w:rsidRDefault="0051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0778851"/>
      <w:docPartObj>
        <w:docPartGallery w:val="Page Numbers (Bottom of Page)"/>
        <w:docPartUnique/>
      </w:docPartObj>
    </w:sdtPr>
    <w:sdtContent>
      <w:p w14:paraId="13576802" w14:textId="31919D32" w:rsidR="00516606" w:rsidRDefault="0051660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764D6CE4" w14:textId="77777777" w:rsidR="00516606" w:rsidRDefault="0051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20523" w14:textId="77777777" w:rsidR="003F45B7" w:rsidRDefault="003F45B7" w:rsidP="00516606">
      <w:r>
        <w:separator/>
      </w:r>
    </w:p>
  </w:footnote>
  <w:footnote w:type="continuationSeparator" w:id="0">
    <w:p w14:paraId="6B6126FA" w14:textId="77777777" w:rsidR="003F45B7" w:rsidRDefault="003F45B7" w:rsidP="0051660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06"/>
    <w:rsid w:val="00157BF2"/>
    <w:rsid w:val="003D7CBC"/>
    <w:rsid w:val="003F45B7"/>
    <w:rsid w:val="00516606"/>
    <w:rsid w:val="005824C9"/>
    <w:rsid w:val="00611102"/>
    <w:rsid w:val="007B5AF7"/>
    <w:rsid w:val="007D7895"/>
    <w:rsid w:val="00922445"/>
    <w:rsid w:val="00A10624"/>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01F579E"/>
  <w15:chartTrackingRefBased/>
  <w15:docId w15:val="{3A32F1A0-A2C6-0C46-B300-B940C37BE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6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66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660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660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660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660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660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660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660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6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66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660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660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1660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166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66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66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166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1660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1660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166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60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66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6606"/>
    <w:rPr>
      <w:i/>
      <w:iCs/>
      <w:color w:val="404040" w:themeColor="text1" w:themeTint="BF"/>
    </w:rPr>
  </w:style>
  <w:style w:type="paragraph" w:styleId="ListParagraph">
    <w:name w:val="List Paragraph"/>
    <w:basedOn w:val="Normal"/>
    <w:uiPriority w:val="34"/>
    <w:qFormat/>
    <w:rsid w:val="00516606"/>
    <w:pPr>
      <w:ind w:left="720"/>
      <w:contextualSpacing/>
    </w:pPr>
  </w:style>
  <w:style w:type="character" w:styleId="IntenseEmphasis">
    <w:name w:val="Intense Emphasis"/>
    <w:basedOn w:val="DefaultParagraphFont"/>
    <w:uiPriority w:val="21"/>
    <w:qFormat/>
    <w:rsid w:val="00516606"/>
    <w:rPr>
      <w:i/>
      <w:iCs/>
      <w:color w:val="2F5496" w:themeColor="accent1" w:themeShade="BF"/>
    </w:rPr>
  </w:style>
  <w:style w:type="paragraph" w:styleId="IntenseQuote">
    <w:name w:val="Intense Quote"/>
    <w:basedOn w:val="Normal"/>
    <w:next w:val="Normal"/>
    <w:link w:val="IntenseQuoteChar"/>
    <w:uiPriority w:val="30"/>
    <w:qFormat/>
    <w:rsid w:val="005166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6606"/>
    <w:rPr>
      <w:i/>
      <w:iCs/>
      <w:color w:val="2F5496" w:themeColor="accent1" w:themeShade="BF"/>
    </w:rPr>
  </w:style>
  <w:style w:type="character" w:styleId="IntenseReference">
    <w:name w:val="Intense Reference"/>
    <w:basedOn w:val="DefaultParagraphFont"/>
    <w:uiPriority w:val="32"/>
    <w:qFormat/>
    <w:rsid w:val="00516606"/>
    <w:rPr>
      <w:b/>
      <w:bCs/>
      <w:smallCaps/>
      <w:color w:val="2F5496" w:themeColor="accent1" w:themeShade="BF"/>
      <w:spacing w:val="5"/>
    </w:rPr>
  </w:style>
  <w:style w:type="paragraph" w:styleId="FootnoteText">
    <w:name w:val="footnote text"/>
    <w:basedOn w:val="Normal"/>
    <w:link w:val="FootnoteTextChar"/>
    <w:unhideWhenUsed/>
    <w:rsid w:val="00516606"/>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516606"/>
    <w:rPr>
      <w:rFonts w:ascii="Times New Roman" w:eastAsia="Times New Roman" w:hAnsi="Times New Roman" w:cs="Times New Roman"/>
      <w:color w:val="auto"/>
      <w:sz w:val="20"/>
      <w:szCs w:val="20"/>
    </w:rPr>
  </w:style>
  <w:style w:type="paragraph" w:styleId="Footer">
    <w:name w:val="footer"/>
    <w:basedOn w:val="Normal"/>
    <w:link w:val="FooterChar"/>
    <w:uiPriority w:val="99"/>
    <w:unhideWhenUsed/>
    <w:rsid w:val="00516606"/>
    <w:pPr>
      <w:tabs>
        <w:tab w:val="center" w:pos="4680"/>
        <w:tab w:val="right" w:pos="9360"/>
      </w:tabs>
    </w:pPr>
  </w:style>
  <w:style w:type="character" w:customStyle="1" w:styleId="FooterChar">
    <w:name w:val="Footer Char"/>
    <w:basedOn w:val="DefaultParagraphFont"/>
    <w:link w:val="Footer"/>
    <w:uiPriority w:val="99"/>
    <w:rsid w:val="00516606"/>
  </w:style>
  <w:style w:type="character" w:styleId="PageNumber">
    <w:name w:val="page number"/>
    <w:basedOn w:val="DefaultParagraphFont"/>
    <w:uiPriority w:val="99"/>
    <w:semiHidden/>
    <w:unhideWhenUsed/>
    <w:rsid w:val="0051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2324</Words>
  <Characters>13251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2026-07-18T14:15:00Z</dcterms:created>
  <dcterms:modified xsi:type="dcterms:W3CDTF">2026-07-18T14:20:00Z</dcterms:modified>
</cp:coreProperties>
</file>