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FD978C1" w14:textId="77777777" w:rsidR="00987897" w:rsidRPr="005B39E0" w:rsidRDefault="00987897" w:rsidP="00987897">
      <w:pPr>
        <w:jc w:val="both"/>
        <w:rPr>
          <w:rFonts w:ascii="Sylfaen" w:hAnsi="Sylfaen"/>
          <w:bCs/>
          <w:iCs/>
        </w:rPr>
      </w:pPr>
      <w:r w:rsidRPr="005B39E0">
        <w:rPr>
          <w:rFonts w:ascii="Sylfaen" w:hAnsi="Sylfaen"/>
          <w:b/>
          <w:bCs/>
          <w:iCs/>
          <w:u w:val="single"/>
        </w:rPr>
        <w:t>«ՄԵՐ ՀԱՅՐԵՐԸ ԿԸ ԽՕՍԻՆ»</w:t>
      </w:r>
    </w:p>
    <w:p w14:paraId="64FA68BD" w14:textId="77777777" w:rsidR="00987897" w:rsidRPr="005B39E0" w:rsidRDefault="00987897" w:rsidP="00987897">
      <w:pPr>
        <w:jc w:val="both"/>
        <w:rPr>
          <w:rFonts w:ascii="Sylfaen" w:hAnsi="Sylfaen"/>
          <w:bCs/>
          <w:iCs/>
        </w:rPr>
      </w:pPr>
      <w:r w:rsidRPr="005B39E0">
        <w:rPr>
          <w:rFonts w:ascii="Sylfaen" w:hAnsi="Sylfaen"/>
          <w:b/>
          <w:bCs/>
          <w:iCs/>
          <w:u w:val="single"/>
        </w:rPr>
        <w:t>ՄԵԾ ՊԱՀՔԻ ՀՈԳԵՒՈՐ ԽՈՐՀՐԴԱԾՈՒԹԵԱՆ ՇԱՐՔ</w:t>
      </w:r>
    </w:p>
    <w:p w14:paraId="759118B0" w14:textId="77777777" w:rsidR="00987897" w:rsidRPr="005B39E0" w:rsidRDefault="00987897" w:rsidP="00987897">
      <w:pPr>
        <w:jc w:val="both"/>
        <w:rPr>
          <w:rFonts w:ascii="Sylfaen" w:hAnsi="Sylfaen"/>
          <w:bCs/>
          <w:iCs/>
        </w:rPr>
      </w:pPr>
      <w:r w:rsidRPr="005B39E0">
        <w:rPr>
          <w:rFonts w:ascii="Sylfaen" w:hAnsi="Sylfaen"/>
          <w:b/>
          <w:bCs/>
          <w:iCs/>
          <w:u w:val="single"/>
        </w:rPr>
        <w:t>26 Մարտ 1999 </w:t>
      </w:r>
    </w:p>
    <w:p w14:paraId="5A6D05B5" w14:textId="77777777" w:rsidR="00987897" w:rsidRPr="005B39E0" w:rsidRDefault="00987897" w:rsidP="00987897">
      <w:pPr>
        <w:jc w:val="both"/>
        <w:rPr>
          <w:rFonts w:ascii="Sylfaen" w:hAnsi="Sylfaen"/>
          <w:bCs/>
          <w:iCs/>
        </w:rPr>
      </w:pPr>
      <w:r w:rsidRPr="005B39E0">
        <w:rPr>
          <w:rFonts w:ascii="Sylfaen" w:hAnsi="Sylfaen"/>
          <w:b/>
          <w:bCs/>
          <w:iCs/>
          <w:u w:val="single"/>
        </w:rPr>
        <w:t>Անթիլիաս-Լիբանան</w:t>
      </w:r>
    </w:p>
    <w:p w14:paraId="2380CEA4" w14:textId="159334A6" w:rsidR="00987897" w:rsidRPr="005B39E0" w:rsidRDefault="00987897" w:rsidP="00987897">
      <w:pPr>
        <w:jc w:val="both"/>
        <w:rPr>
          <w:rFonts w:ascii="Sylfaen" w:hAnsi="Sylfaen"/>
          <w:bCs/>
          <w:iCs/>
          <w:sz w:val="28"/>
          <w:szCs w:val="28"/>
        </w:rPr>
      </w:pPr>
    </w:p>
    <w:p w14:paraId="1F8433E9"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rPr>
        <w:t> </w:t>
      </w:r>
    </w:p>
    <w:p w14:paraId="2DC82C51" w14:textId="77777777" w:rsidR="00987897" w:rsidRPr="005B39E0" w:rsidRDefault="00987897" w:rsidP="00987897">
      <w:pPr>
        <w:jc w:val="center"/>
        <w:rPr>
          <w:rFonts w:ascii="Sylfaen" w:hAnsi="Sylfaen"/>
          <w:bCs/>
          <w:iCs/>
          <w:sz w:val="32"/>
          <w:szCs w:val="32"/>
        </w:rPr>
      </w:pPr>
      <w:r w:rsidRPr="005B39E0">
        <w:rPr>
          <w:rFonts w:ascii="Sylfaen" w:hAnsi="Sylfaen"/>
          <w:bCs/>
          <w:iCs/>
          <w:sz w:val="32"/>
          <w:szCs w:val="32"/>
        </w:rPr>
        <w:t>ՅԱՃԱԽԱՊԱՏՈՒՄ</w:t>
      </w:r>
    </w:p>
    <w:p w14:paraId="7358DB84"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32EA4AB8" w14:textId="2F085D32" w:rsidR="00987897" w:rsidRPr="005B39E0" w:rsidRDefault="00987897" w:rsidP="00987897">
      <w:pPr>
        <w:ind w:firstLine="720"/>
        <w:jc w:val="both"/>
        <w:rPr>
          <w:rFonts w:ascii="Sylfaen" w:hAnsi="Sylfaen"/>
          <w:bCs/>
          <w:iCs/>
          <w:sz w:val="28"/>
          <w:szCs w:val="28"/>
        </w:rPr>
      </w:pPr>
      <w:r w:rsidRPr="005B39E0">
        <w:rPr>
          <w:rFonts w:ascii="Sylfaen" w:hAnsi="Sylfaen"/>
          <w:bCs/>
          <w:i/>
          <w:iCs/>
          <w:sz w:val="28"/>
          <w:szCs w:val="28"/>
          <w:lang w:val="hy-AM"/>
        </w:rPr>
        <w:t>Սոփերք Հայկականք</w:t>
      </w:r>
      <w:r w:rsidRPr="005B39E0">
        <w:rPr>
          <w:rFonts w:ascii="Sylfaen" w:hAnsi="Sylfaen"/>
          <w:bCs/>
          <w:iCs/>
          <w:sz w:val="28"/>
          <w:szCs w:val="28"/>
          <w:lang w:val="hy-AM"/>
        </w:rPr>
        <w:t>-ի մէջ Ս. Գրիգոր Լուսաւորիչ Հայրապետի գովքը կը հիւսուի հետեւեալ բառերով. «Գրիգորիոս սուրբը Երրորդութ-եան քարոզիչը, ուղղափառութեան հաստատիչը, Քրիստոսի հօտին վերահսկիչը, Ս. Հոգւոյն իմաստութեան տաճարը, երկնային կառավարը, օդախաղերուն թռչունը, տիեզերքի անշիջանելի լոյսը, պայծառագոյն արեւը, մոլորեալներուն առաջնորդը, ընտրութեան անօթը, սրբութեան տաղաւարը, աստուածային նուէրը, Ս. Հոգին ընդունողը, միասնական Երրորդութեան բնակարանը, առաքինութեան օրինակը, Աստուծոյ պատ-ւիրաններուն գործարանը, հայրապետներուն գեղեցկութիւնը, միայնա-ւորներուն պայծառութիւնը, սրբութեան ուղղեւորիչը, հաւատքի հաս-տատութիւնը, եկեղեցւոյ ամրութիւնը, քրիստոնէական օրէնքի վար-դապետը, քրիստոնէական աւանդութիւններու ուսուցիչը, դեւերու հալա</w:t>
      </w:r>
      <w:r w:rsidR="00AE4D75">
        <w:rPr>
          <w:rFonts w:ascii="Sylfaen" w:hAnsi="Sylfaen"/>
          <w:bCs/>
          <w:iCs/>
          <w:sz w:val="28"/>
          <w:szCs w:val="28"/>
          <w:lang w:val="hy-AM"/>
        </w:rPr>
        <w:t>-</w:t>
      </w:r>
      <w:r w:rsidRPr="005B39E0">
        <w:rPr>
          <w:rFonts w:ascii="Sylfaen" w:hAnsi="Sylfaen"/>
          <w:bCs/>
          <w:iCs/>
          <w:sz w:val="28"/>
          <w:szCs w:val="28"/>
          <w:lang w:val="hy-AM"/>
        </w:rPr>
        <w:t>ծիչը, նեղութիւններ կրելու օրինակը, հանդարտութեան եղանակը, խոնարհութեան գաղափարը, ճգնաւորներուն նկարագիրը, անապատա</w:t>
      </w:r>
      <w:r w:rsidR="00AE4D75">
        <w:rPr>
          <w:rFonts w:ascii="Sylfaen" w:hAnsi="Sylfaen"/>
          <w:bCs/>
          <w:iCs/>
          <w:sz w:val="28"/>
          <w:szCs w:val="28"/>
          <w:lang w:val="hy-AM"/>
        </w:rPr>
        <w:t>-</w:t>
      </w:r>
      <w:r w:rsidRPr="005B39E0">
        <w:rPr>
          <w:rFonts w:ascii="Sylfaen" w:hAnsi="Sylfaen"/>
          <w:bCs/>
          <w:iCs/>
          <w:sz w:val="28"/>
          <w:szCs w:val="28"/>
          <w:lang w:val="hy-AM"/>
        </w:rPr>
        <w:t>կաններուն տատրակը, լուսափայլ արեգակը, արագահոս միտքը, ան</w:t>
      </w:r>
      <w:r w:rsidR="00AE4D75">
        <w:rPr>
          <w:rFonts w:ascii="Sylfaen" w:hAnsi="Sylfaen"/>
          <w:bCs/>
          <w:iCs/>
          <w:sz w:val="28"/>
          <w:szCs w:val="28"/>
          <w:lang w:val="hy-AM"/>
        </w:rPr>
        <w:t>-</w:t>
      </w:r>
      <w:r w:rsidRPr="005B39E0">
        <w:rPr>
          <w:rFonts w:ascii="Sylfaen" w:hAnsi="Sylfaen"/>
          <w:bCs/>
          <w:iCs/>
          <w:sz w:val="28"/>
          <w:szCs w:val="28"/>
          <w:lang w:val="hy-AM"/>
        </w:rPr>
        <w:t>նիրհելի ակը, ապաշխարութեան ուսուցիչը, դարձի եկողներուն միջնորդը, մոլորեալներուն առաջնորդը, հիւանդներուն բժիշկը, ախտերուն սատա</w:t>
      </w:r>
      <w:r w:rsidR="00AE4D75">
        <w:rPr>
          <w:rFonts w:ascii="Sylfaen" w:hAnsi="Sylfaen"/>
          <w:bCs/>
          <w:iCs/>
          <w:sz w:val="28"/>
          <w:szCs w:val="28"/>
          <w:lang w:val="hy-AM"/>
        </w:rPr>
        <w:t>-</w:t>
      </w:r>
      <w:r w:rsidRPr="005B39E0">
        <w:rPr>
          <w:rFonts w:ascii="Sylfaen" w:hAnsi="Sylfaen"/>
          <w:bCs/>
          <w:iCs/>
          <w:sz w:val="28"/>
          <w:szCs w:val="28"/>
          <w:lang w:val="hy-AM"/>
        </w:rPr>
        <w:t>կիչը, քաջ հովիւը, անքուն պահապանը, համբերութեան արմատը, անճառելիներուն տեսանողը, ստորայիններուն արհամարհիչը, երկնա</w:t>
      </w:r>
      <w:r w:rsidR="00AE4D75">
        <w:rPr>
          <w:rFonts w:ascii="Sylfaen" w:hAnsi="Sylfaen"/>
          <w:bCs/>
          <w:iCs/>
          <w:sz w:val="28"/>
          <w:szCs w:val="28"/>
          <w:lang w:val="hy-AM"/>
        </w:rPr>
        <w:t>-</w:t>
      </w:r>
      <w:r w:rsidRPr="005B39E0">
        <w:rPr>
          <w:rFonts w:ascii="Sylfaen" w:hAnsi="Sylfaen"/>
          <w:bCs/>
          <w:iCs/>
          <w:sz w:val="28"/>
          <w:szCs w:val="28"/>
          <w:lang w:val="hy-AM"/>
        </w:rPr>
        <w:t>թ</w:t>
      </w:r>
      <w:r w:rsidR="00AE4D75">
        <w:rPr>
          <w:rFonts w:ascii="Sylfaen" w:hAnsi="Sylfaen"/>
          <w:bCs/>
          <w:iCs/>
          <w:sz w:val="28"/>
          <w:szCs w:val="28"/>
          <w:lang w:val="hy-AM"/>
        </w:rPr>
        <w:t>ը</w:t>
      </w:r>
      <w:r w:rsidRPr="005B39E0">
        <w:rPr>
          <w:rFonts w:ascii="Sylfaen" w:hAnsi="Sylfaen"/>
          <w:bCs/>
          <w:iCs/>
          <w:sz w:val="28"/>
          <w:szCs w:val="28"/>
          <w:lang w:val="hy-AM"/>
        </w:rPr>
        <w:t>ռիչ արծիւը, հրեշտակներուն պարակիցը, առաքեալներուն հաղոր</w:t>
      </w:r>
      <w:r w:rsidR="008648EA">
        <w:rPr>
          <w:rFonts w:ascii="Sylfaen" w:hAnsi="Sylfaen"/>
          <w:bCs/>
          <w:iCs/>
          <w:sz w:val="28"/>
          <w:szCs w:val="28"/>
          <w:lang w:val="hy-AM"/>
        </w:rPr>
        <w:t>-</w:t>
      </w:r>
      <w:r w:rsidRPr="005B39E0">
        <w:rPr>
          <w:rFonts w:ascii="Sylfaen" w:hAnsi="Sylfaen"/>
          <w:bCs/>
          <w:iCs/>
          <w:sz w:val="28"/>
          <w:szCs w:val="28"/>
          <w:lang w:val="hy-AM"/>
        </w:rPr>
        <w:t>դակիցը, մարտիրոսներուն չարչարակիցը, արքայութեան բնակիչը, Հայր Աստուծոյ ժառանգաւորը եւ Քրիստոսի ժառանգակիցն է՝ որ Երրոր-դութեան մօտ հրեշտակներուն հետ ամբողջ աշխարհի համար միշտ կը բարեխօսէ»:</w:t>
      </w:r>
    </w:p>
    <w:p w14:paraId="614140BF" w14:textId="77777777" w:rsidR="00987897" w:rsidRPr="005B39E0" w:rsidRDefault="00987897" w:rsidP="00987897">
      <w:pPr>
        <w:ind w:firstLine="720"/>
        <w:jc w:val="both"/>
        <w:rPr>
          <w:rFonts w:ascii="Sylfaen" w:hAnsi="Sylfaen"/>
          <w:bCs/>
          <w:iCs/>
          <w:sz w:val="28"/>
          <w:szCs w:val="28"/>
        </w:rPr>
      </w:pPr>
      <w:r w:rsidRPr="005B39E0">
        <w:rPr>
          <w:rFonts w:ascii="Sylfaen" w:hAnsi="Sylfaen"/>
          <w:bCs/>
          <w:i/>
          <w:iCs/>
          <w:sz w:val="28"/>
          <w:szCs w:val="28"/>
          <w:lang w:val="hy-AM"/>
        </w:rPr>
        <w:t>Յաճախապատում</w:t>
      </w:r>
      <w:r w:rsidRPr="005B39E0">
        <w:rPr>
          <w:rFonts w:ascii="Sylfaen" w:hAnsi="Sylfaen"/>
          <w:bCs/>
          <w:iCs/>
          <w:sz w:val="28"/>
          <w:szCs w:val="28"/>
          <w:lang w:val="hy-AM"/>
        </w:rPr>
        <w:t xml:space="preserve"> գիրքը, որ հարազատ ցոլացումն է վերեւ տրուած յատկանշումներուն, կարգ մը բանասէրներու կողմէ Ս. Գրիգոր Լու-սաւորչի վերագրուած է, իսկ ուրիշներու կողմէ՝ Ս. Մեսրոպ Մաշտոցի: </w:t>
      </w:r>
      <w:r w:rsidRPr="005B39E0">
        <w:rPr>
          <w:rFonts w:ascii="Sylfaen" w:hAnsi="Sylfaen"/>
          <w:bCs/>
          <w:iCs/>
          <w:sz w:val="28"/>
          <w:szCs w:val="28"/>
          <w:lang w:val="hy-AM"/>
        </w:rPr>
        <w:lastRenderedPageBreak/>
        <w:t>Ագաթանգեղոս կ՚ըսէ, թէ Ս. Գրիգոր մեզի փոխանցեց «ճառս յաճախագոյնս դժուարապատումս, առակս խորիմացս դիւրալուրս»: Անշուշտ, մատե-նագրական քննարկումէ մը աւելի մենք հրաւիրուած ենք մեր ուշադ-րութիւնը կեդրոնացնելու յիշեալ գործին թելադրականութեան վրայ. որովհետեւ «Այս մատեան է անշուշտ աւանդ պատուական աստուածար-եալ հօր մերոյ լուսաբաշխ աջովն տպաւորեալ … խրատս քաղցունս եւ բանս ամոք», ինչպէս </w:t>
      </w:r>
      <w:r w:rsidRPr="005B39E0">
        <w:rPr>
          <w:rFonts w:ascii="Sylfaen" w:hAnsi="Sylfaen"/>
          <w:bCs/>
          <w:i/>
          <w:iCs/>
          <w:sz w:val="28"/>
          <w:szCs w:val="28"/>
          <w:lang w:val="hy-AM"/>
        </w:rPr>
        <w:t>Յաճախապատում</w:t>
      </w:r>
      <w:r w:rsidRPr="005B39E0">
        <w:rPr>
          <w:rFonts w:ascii="Sylfaen" w:hAnsi="Sylfaen"/>
          <w:bCs/>
          <w:iCs/>
          <w:sz w:val="28"/>
          <w:szCs w:val="28"/>
          <w:lang w:val="hy-AM"/>
        </w:rPr>
        <w:t xml:space="preserve">-ի 1838 թուի Վենետիկի հրա-տարակութեան Յառաջաբանին մէջ կը կարդանք: Իսկ 1894–96 թուական-ներուն Վաղարշապատ հրատարակուած </w:t>
      </w:r>
      <w:r w:rsidRPr="005B39E0">
        <w:rPr>
          <w:rFonts w:ascii="Sylfaen" w:hAnsi="Sylfaen"/>
          <w:bCs/>
          <w:i/>
          <w:iCs/>
          <w:sz w:val="28"/>
          <w:szCs w:val="28"/>
          <w:lang w:val="hy-AM"/>
        </w:rPr>
        <w:t>Յաճախապատում</w:t>
      </w:r>
      <w:r w:rsidRPr="005B39E0">
        <w:rPr>
          <w:rFonts w:ascii="Sylfaen" w:hAnsi="Sylfaen"/>
          <w:bCs/>
          <w:iCs/>
          <w:sz w:val="28"/>
          <w:szCs w:val="28"/>
          <w:lang w:val="hy-AM"/>
        </w:rPr>
        <w:t>-ի Յառա-ջաբանին մէջ Արշակ Տէր Միքելեան կը գրէ. «Հայաստանեայց Եկեղեցու առաքելական վարդապետութեան հիմնական աղբիւրը Ս. Գրքից յետոյ Ս. Գրիգոր Լուսաւորչի Յաճախապատում ճառերն են, որոնք ամփոփ տալիս են դաւանական եւ բարոյական բոլոր սկզբունքներն իբրեւ հիմունք եւ սահման Նորա հաւատարիմ որդոց: Այս ճառերն երկրորդ տեղն են բռնում այն վարդապետութիւնից յետոյ, որով ուսոյց մեր Ս. Հայրապետը Հայաստանեայց վերածնեալ զաւակներին եւ որ աւանդուած է Ագա-թանգեղոսի պատմութեան մէջ»:</w:t>
      </w:r>
    </w:p>
    <w:p w14:paraId="1F5DB94E"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xml:space="preserve">         Երբ արագ ակնարկ մը նետենք </w:t>
      </w:r>
      <w:r w:rsidRPr="005B39E0">
        <w:rPr>
          <w:rFonts w:ascii="Sylfaen" w:hAnsi="Sylfaen"/>
          <w:bCs/>
          <w:i/>
          <w:iCs/>
          <w:sz w:val="28"/>
          <w:szCs w:val="28"/>
          <w:lang w:val="hy-AM"/>
        </w:rPr>
        <w:t>Յաճախապատում</w:t>
      </w:r>
      <w:r w:rsidRPr="005B39E0">
        <w:rPr>
          <w:rFonts w:ascii="Sylfaen" w:hAnsi="Sylfaen"/>
          <w:bCs/>
          <w:iCs/>
          <w:sz w:val="28"/>
          <w:szCs w:val="28"/>
          <w:lang w:val="hy-AM"/>
        </w:rPr>
        <w:t>-ի բովանդա-կութեան վրայ, կը տեսնենք թէ ամենասուրբ Երրորդութեան, քրիս-տոնէական հաւատքի, մոլորեցուցիչ մտածումներէ զգուշանալու, աստ-ւածպաշտութեան նուիրուելու, արարածներու ստեղծագործութեան, առաքինութիւններու, պահքի, մարդկային հոգիներու, մարտիրոսներու, Ս. Հոգւոյն շնորհներուն եւ ճգնաւորներու նուիրուած քսաներեք ճառեր ամփոփուած են այս հատորին մէջ, որ կ՚աւարտի փորձութեան մէջ ինկողները զգուշացնող Սուրբին աղօթքով:</w:t>
      </w:r>
    </w:p>
    <w:p w14:paraId="699A979C" w14:textId="6E7FFD8C"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Մենք ամփոփ կերպով հոս վերլուծած ենք երկու ճառեր միայն. «ՎԱՐԴԱՊԵՏՈՒԹԻՒՆ ԿԱՏԱՐԵԱԼ Ի ՏԷՐ ԱՄԵՆԱՍՈՒՐԲ ՊԱՀՈՑ ԵՐԱՆԵԼՒՈՅՆ ՍՐԲՈՅՆ ԳՐԻԳՈՐԻ ՀԱՅՈՑ ԼՈՒՍԱՒՈՐՉԻ» (Պահքի նուիրուած թիւ իննը ճառը) եւ «ԵՐԱՆԵԼՒՈՅՆ ՍՐԲՈՅՆ ԳՐԻԳՈՐԻ ԽՐԱՏՔ ՃԳՆԱՒՈՐԱՑ ԵՒ ՑՈՅՑՔ ՀԱՆԴԻՍԻՑ ՈՐ ՅԱՌԱՔԻՆՈՒԹԻՒՆ ՅՈՐԴՈՐԵՆ» (Ճգնաւորները առաքինութեան հրաւիրող թիւ քսաներեք ճառը):</w:t>
      </w:r>
    </w:p>
    <w:p w14:paraId="6AB7374D"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11D179F0" w14:textId="77777777" w:rsidR="00987897" w:rsidRPr="005B39E0" w:rsidRDefault="00987897" w:rsidP="00987897">
      <w:pPr>
        <w:jc w:val="center"/>
        <w:rPr>
          <w:rFonts w:ascii="Sylfaen" w:hAnsi="Sylfaen"/>
          <w:bCs/>
          <w:iCs/>
          <w:sz w:val="28"/>
          <w:szCs w:val="28"/>
        </w:rPr>
      </w:pPr>
      <w:r w:rsidRPr="005B39E0">
        <w:rPr>
          <w:rFonts w:ascii="Sylfaen" w:hAnsi="Sylfaen"/>
          <w:bCs/>
          <w:iCs/>
          <w:sz w:val="28"/>
          <w:szCs w:val="28"/>
          <w:lang w:val="hy-AM"/>
        </w:rPr>
        <w:t>* * *</w:t>
      </w:r>
    </w:p>
    <w:p w14:paraId="2C3FB46B"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22F94A9C" w14:textId="43AD55C6"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lastRenderedPageBreak/>
        <w:t>         Առաջին ճառին մէջ, Ս. Գրիգոր կը հաստատէ, թէ Սատանան խախտած է մեր Տիրոջ եւ Արարիչին ամեն բանի մէջ հաստատած կարգ-կանոնն ու չափաւորութիւնը: Սատանան Աստուծոյ դէմ կռուող, մեղքը սիրող, մարդուն դէմ թշնամացող եւ արդարութեան ու սրբութեան հակառակող իր ապստամբութեան պատճառաւ երկնային փառքէն զրկուած այն հրեշտակն է, որ տակաւին, իր արբանեակներուն հետ, խորամանկութեամբ եւ զանազան չարութիւններով կը շարունակէ խաբել եւ կորուստի մատնել մարդիկը: Սակայն Արարիչին խնամատարութիւնը կը դարմանէ Իր արարածները, որովհետեւ Ան Իր առատ մարդասի</w:t>
      </w:r>
      <w:r w:rsidR="00933F47">
        <w:rPr>
          <w:rFonts w:ascii="Sylfaen" w:hAnsi="Sylfaen"/>
          <w:bCs/>
          <w:iCs/>
          <w:sz w:val="28"/>
          <w:szCs w:val="28"/>
          <w:lang w:val="hy-AM"/>
        </w:rPr>
        <w:t>-</w:t>
      </w:r>
      <w:r w:rsidRPr="005B39E0">
        <w:rPr>
          <w:rFonts w:ascii="Sylfaen" w:hAnsi="Sylfaen"/>
          <w:bCs/>
          <w:iCs/>
          <w:sz w:val="28"/>
          <w:szCs w:val="28"/>
          <w:lang w:val="hy-AM"/>
        </w:rPr>
        <w:t>րութեամբ դարձ եւ ապաշխարութիւն սահմանեց մեր բոլոր մեղքերուն համար: Մեղաւորներս երբ արցունքով, խոստովանութեամբ եւ ապաշ</w:t>
      </w:r>
      <w:r w:rsidR="00933F47">
        <w:rPr>
          <w:rFonts w:ascii="Sylfaen" w:hAnsi="Sylfaen"/>
          <w:bCs/>
          <w:iCs/>
          <w:sz w:val="28"/>
          <w:szCs w:val="28"/>
          <w:lang w:val="hy-AM"/>
        </w:rPr>
        <w:t>-</w:t>
      </w:r>
      <w:r w:rsidRPr="005B39E0">
        <w:rPr>
          <w:rFonts w:ascii="Sylfaen" w:hAnsi="Sylfaen"/>
          <w:bCs/>
          <w:iCs/>
          <w:sz w:val="28"/>
          <w:szCs w:val="28"/>
          <w:lang w:val="hy-AM"/>
        </w:rPr>
        <w:t>խարութեամբ մօտենանք Աստուծոյ, Ան գթալով պիտի ողորմի եւ որդեգրութեան շնորհ պարգեւէ մեզի, Իր բարի կամքով արդարութիւն ի գործ պիտի դնէ, չար սովորութիւնները մեր մէջէն արմատախիլ պիտի ընէ եւ գեհենի դառն պարտամուրհակէն ազատելով՝ մեզ սուրբ Երրոր-դութեան բարերար սիրոյն եւ երկինքի արքայութեան արժանի պիտի դարձնէ:</w:t>
      </w:r>
    </w:p>
    <w:p w14:paraId="50AFFF10"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Նախաստեղծ մարդը (Ադամն ու Եւան) բանսարկու Սատանայէն խաբուելով իր պահեցողութիւնը խախտեց (Ծննդոց 3) եւ դրախտին փափկութենէն զրկուեցաւ ու մահը ժառանգեց: Մեզի համար եւս մար-գարէներուն, առաքեալներուն եւ մեր սուրբ հայրերուն կողմէ պահե-ցողութիւն սահմանուեցաւ, որովհետեւ.</w:t>
      </w:r>
    </w:p>
    <w:p w14:paraId="0AD8F217" w14:textId="6BC06604"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Առաջին, պահքը դաստիարակ է, որ մարդը որովայնամոլութենէ եւ որկորսիրութենէ հեռու կը պահէ, անժուժկալութեան վնասներէն կը պահ</w:t>
      </w:r>
      <w:r w:rsidR="00933F47">
        <w:rPr>
          <w:rFonts w:ascii="Sylfaen" w:hAnsi="Sylfaen"/>
          <w:bCs/>
          <w:iCs/>
          <w:sz w:val="28"/>
          <w:szCs w:val="28"/>
          <w:lang w:val="hy-AM"/>
        </w:rPr>
        <w:t>-</w:t>
      </w:r>
      <w:r w:rsidRPr="005B39E0">
        <w:rPr>
          <w:rFonts w:ascii="Sylfaen" w:hAnsi="Sylfaen"/>
          <w:bCs/>
          <w:iCs/>
          <w:sz w:val="28"/>
          <w:szCs w:val="28"/>
          <w:lang w:val="hy-AM"/>
        </w:rPr>
        <w:t>պանէ, սրբութեան երկիւղին մէջ կը հաստատէ եւ Քրիստոսի պարգեւելիք հանգիստին կը պատրաստէ:</w:t>
      </w:r>
    </w:p>
    <w:p w14:paraId="3FCC17B3"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Երկրորդ, պահքը բժիշկ է, որ մարդը մեղքերէն կը մաքրէ եւ սրբութեան բնակարան կը դարձնէ: Ան ժուժկալներուն առողջութեան դեղ կը շնորհէ եւ մեղքերու ապականեալ ժահահոտութիւնը կը չեզոքացնէ: Ան աղտեղի ցանկութիւններն ու անառակութիւնները սրբութեամբ եւ ամբծութեամբ կը զսպէ ու մեզի կատարեալ առողջութիւն կը պարգեւէ՝ մեզ խոստովանութեամբ, ապաշխարութեամբ եւ աղօթքով զօրացնելով:</w:t>
      </w:r>
    </w:p>
    <w:p w14:paraId="13B60279"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Երրորդ, պահքը կատարեալ հաւատքի ազդեցութիւնը կը ներգործէ մեզ չար մեղքերէ՝ պոռնկութենէ, որովայնամոլութենէ, ամբարտաւա-նութենէ, նախանձէ, բարկութենէ, ագահութենէ, գողութենէ, ստախօ-</w:t>
      </w:r>
      <w:r w:rsidRPr="005B39E0">
        <w:rPr>
          <w:rFonts w:ascii="Sylfaen" w:hAnsi="Sylfaen"/>
          <w:bCs/>
          <w:iCs/>
          <w:sz w:val="28"/>
          <w:szCs w:val="28"/>
          <w:lang w:val="hy-AM"/>
        </w:rPr>
        <w:lastRenderedPageBreak/>
        <w:t>սութենէ, երդնուլէ, չարախօսութենէ, մեր նմանը զրկելէ, նենգութենէ, ցասումէ, թշնամութենէ, ոխակալութենէ, ծուլութենէ, ուրիշներուն վրայ ծիծաղելէ, խեղկատակութենէ, գինեմոլութենէ եւ բամբասանքէ հրա-ժարելու հրաւիրելով: Բազմաչարչար հայրապետը կը հաստատէ, թէ միտքի եւ զգայութիւններու չար եւ դառն շարժումները զսպելը պահքի պսակումն է եւ մեզ յաւիտենական կեանքի դռներուն կը հասցնէ:</w:t>
      </w:r>
    </w:p>
    <w:p w14:paraId="4889AAA2"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Չորրորդ, պահքը մարմնի ծածկեալ հիւանդութիւնները երեւան կը հանէ: Մաղձը մարմնէն դուրս հանող դեղին ներգործութեան կը նմանի պահքին ներգործութիւնը, որովհետեւ մեր մարմնէն դուրս կը հանէ մեղքի մաղձը: Երբ կերակուրները կը պակսեցնենք մեր մարմինը կը հանդարտի եւ կը մաքրուի: Այսպիսով պահքը մեր հոգեւոր կեանքը կը զօրացնէ եւ մեզ մարմնաւոր կորուստէն պահելով՝ յաւիտենական կեանքին կը պատ-րաստէ: </w:t>
      </w:r>
    </w:p>
    <w:p w14:paraId="6463D80D"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Ս. Գրիգոր կը մէջբերէ պահքով ապրած եւ չարին յաղթանակած աստուածաշնչական տիպարներ՝ Եղիան, Մովսէսը եւ Յովհաննէս Մկրտիչը: Իր աստուածաբարբառ խրատին այս մասը կ՚եզրափակէ մեր Տիրոջ քառասնօրեայ ծոմապահութեան ակնարկելով, եւ կ՚ըսէ. «Բոլոր սուրբերուն համար պահքը սրբութեան եւ այս երկրէն համբառնալու ու հոգեղէններուն մօտենալու առիթ մը հանդիսացած է»:</w:t>
      </w:r>
    </w:p>
    <w:p w14:paraId="65644456"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Հինգերորդ, պահքը աղ է, որ հոգիներուն նեխութիւնը կ՚անուշցնէ եւ մարմիններուն մեղքի աղտեղութիւնները կը սրբէ, Ս. Հոգիին անոյշ կամքին անարատութեամբ քաղցրացնելով մեզ: Պահքի միջոցաւ Տիրոջ մօտենալու առիթը չօգտագործողները անասուններու եւ յիմարներու կարգին կը դասէ մեր հոգենուէր դաստիարակը: </w:t>
      </w:r>
    </w:p>
    <w:p w14:paraId="529E7A5F"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Վեցերորդ, պահքը հզօր պարիսպ եւ ամուր դուռ է, որ մտքի եւ մարմնի ցանկութեան բորբոքած կրակը կը մարէ: </w:t>
      </w:r>
    </w:p>
    <w:p w14:paraId="24C97444"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Եօթներորդ, պահքը ախտերուն պատճառած բոլոր վնասներուն խաղաղութիւն պարգեւող նաւահանգիստն է եւ կը սանձէ անիրաւութիւն գործող ստահակները:</w:t>
      </w:r>
    </w:p>
    <w:p w14:paraId="5F7E21CE"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 xml:space="preserve">Ս. Գրիգոր միսէն եւ գինէէն հեռանալ կը թելադրէ հաւատաց-եալներուն, որովհտեւ գինին միտքն ու զգացումները առաւել կը գրգռէ, ցանկութիւնները կ՚եռացնէ եւ անառակութեան կը մղէ: Գինին սրտի թմրութիւն, բերանի պապանձում, աչքերու խաւարացում, ականջներու խլութիւն, ձեռքերու թուլութիւն, ոտքերու գայթակղութիւն, մտածումներու ցրուածութիւն եւ քունի ծանրութիւն կը պատճառէ ու մեզ արդարութեան </w:t>
      </w:r>
      <w:r w:rsidRPr="005B39E0">
        <w:rPr>
          <w:rFonts w:ascii="Sylfaen" w:hAnsi="Sylfaen"/>
          <w:bCs/>
          <w:iCs/>
          <w:sz w:val="28"/>
          <w:szCs w:val="28"/>
          <w:lang w:val="hy-AM"/>
        </w:rPr>
        <w:lastRenderedPageBreak/>
        <w:t>թշնամի կը դարձնէ՝ մահուան ու յաւիտենական տանջանքներուն սար-սափը մոռցնել տալով: Այնպէս ինչպէս կրակը կը տոչորէ եւ կը վառէ ցանկութեան բոցը,– կրակը միայն մարմինը կ՚այրէ–, միսը եւ գինին ալ հոգիները ցանկութեան կը մղեն: Այնպէս ինչպէս կրակը առանց նիւթի կը մարի, ցանկութիւնն ալ պահքով կը մարի:</w:t>
      </w:r>
    </w:p>
    <w:p w14:paraId="04E3B228"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Ան այս ճառը կ՚աւարտէ, ըսելով. «Ճշմարիտ պահքը հոգիներուն եւ մարմիններուն բոլոր ցանկութիւնները դուրս կը վանէ, արդարութեան հետամուտ եւ ժուժկալ ըլլալու կը մղէ անոնք, որոնք հոգիներու եւ մարմիններու դէմ կը զինուին մեղքերէ մաքրուելու համար: Մեզի կը մնայ բարեպաշտութեամբ ապրիլ եւ յաւիտեանս յաւիտենից փառաւորել մեր Տէր Յիսուս Քրիստոսը. ամէն»:</w:t>
      </w:r>
    </w:p>
    <w:p w14:paraId="2E366599"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77E479D7" w14:textId="77777777" w:rsidR="00987897" w:rsidRPr="005B39E0" w:rsidRDefault="00987897" w:rsidP="00987897">
      <w:pPr>
        <w:jc w:val="center"/>
        <w:rPr>
          <w:rFonts w:ascii="Sylfaen" w:hAnsi="Sylfaen"/>
          <w:bCs/>
          <w:iCs/>
          <w:sz w:val="28"/>
          <w:szCs w:val="28"/>
        </w:rPr>
      </w:pPr>
      <w:r w:rsidRPr="005B39E0">
        <w:rPr>
          <w:rFonts w:ascii="Sylfaen" w:hAnsi="Sylfaen"/>
          <w:bCs/>
          <w:iCs/>
          <w:sz w:val="28"/>
          <w:szCs w:val="28"/>
          <w:lang w:val="hy-AM"/>
        </w:rPr>
        <w:t>* * *</w:t>
      </w:r>
    </w:p>
    <w:p w14:paraId="13233674"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48ECB1AB"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Յաջորդ ճառին մէջ, Ս. Գրիգոր աշխարհէն հրաժարածներուն, իրենց անձերը Աստուծոյ ընծայածներուն, ճշմարտութեան հնազանդութեան մէջ ապրողներուն, կուսութեամբ ճգնողներուն կը թելադրէ զգոյշ ըլլալ իրենց մտածումներուն, խօսքերուն եւ գործերուն մէջ՝ որպէսզի դարանակալ օձէն, Սատանայէն, չխայթուին:</w:t>
      </w:r>
    </w:p>
    <w:p w14:paraId="3B68C96F"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Մեծ պատերազմի մէջ են այս անձերը եւ պարտաւոր են բար-կութեան՝ հեզութիւն, անզգամութեան՝ հանդարտութիւն, թշնամութիւն-ներուն՝ բարեխօսութիւն, անհնազանդութեան՝ հնազանդութիւն, ստա-հակութեան՝ հաւանութիւն, անհամբերութեան՝ համբերութիւն, ոխա-կալութեան՝ անոխակալութիւն, մախանքի՝ աննախանձութիւն, դառ-նութեան՝ քաղցրութիւն, չարութեան՝ բարերարութիւն, անգործութեան՝ գործասիրութիւն, նենգութեան՝ անխարդախութիւն, լրբութեան՝ հա-մեստութիւն, ծաղրանքի՝ արցունք, ատելութեան՝ մաքուր սէր, անյու-սութեան՝ յոյս, տրտմութեան՝ զուարթութիւն, փորձութիւններու՝ երկայ-նամտութիւն, ագահութեան՝ չափաւորութիւն, ընչասիրութեան՝ արհա-մարհանք, պատուասիրութեան՝ նուաստութիւն եւ թերահաւատութեան՝ ճշմարիտ հաւատք ցուցաբերել:</w:t>
      </w:r>
    </w:p>
    <w:p w14:paraId="3E0478C6"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 xml:space="preserve">Այս կատարելու համար, անոնք պէտք է սուրբ սրտով եւ անկեղծ հաւատքով աստուածսիրութիւնը իրենց անձերուն մէջ հաստատեն, աղօթքով, պահքով, ջերմեռանդ արտասուքով եւ Աստուծոյ երկիւղով ապրին, իրենց առաջնորդներուն խրատները մտիկ ընեն, անոնց </w:t>
      </w:r>
      <w:r w:rsidRPr="005B39E0">
        <w:rPr>
          <w:rFonts w:ascii="Sylfaen" w:hAnsi="Sylfaen"/>
          <w:bCs/>
          <w:iCs/>
          <w:sz w:val="28"/>
          <w:szCs w:val="28"/>
          <w:lang w:val="hy-AM"/>
        </w:rPr>
        <w:lastRenderedPageBreak/>
        <w:t>հրամաններուն ենթարկուին, իրենց ուխտը պահեն, ճշմարտասէր ըլլան, սուրբ սիրով անխզելի պահեն եղբայրութեան միաբանութիւնը, խոնար-հութեամբ զիրար իրենց անձերէն աւելի լաւ համարեն, զիրար բարի գործերու մղեն եւ միաբանութեան բարօրութեան համար սահմանուած հասարակաց պաշտօնները որեւէ պատճառաւ չխափանեն:</w:t>
      </w:r>
    </w:p>
    <w:p w14:paraId="4C9A086A"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Ս. Գրիգոր վանական զանազան պաշտօններ կը թուէ եւ իւրա-քանչիւրին համար յատուկ պատուէրներ տալէ եւ այս դրութիւնը մարմնի անդամներուն ներդաշնակ գործունէութեան հետ բաղդատելէ ետք, կ՚ըսէ. «Միշտ զԱստուած ունենալ աչքերուն առջեւ եւ որպէս Անոր անխարդախ մշակը գործել ամեն վայրկեան»:</w:t>
      </w:r>
    </w:p>
    <w:p w14:paraId="4C41A518"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Իսկ ան, որ վերակացուն է այս անձերուն, ճշմարիտ սիրով եւ զգաստութեամբ պէտք է նախատեսէ ամեն բան եւ եղբայրները բարի սրտով, խորագիտութեամբ եւ ճշգրիտ ժամանակին խրատէ եւ ճշմարիտ ճանապարհէն շեղածները ուղղէ: Վերակացուն պէտք է բարեմիտ, բարեխոհ եւ բարեգործ հոգեւոր հայր ըլլայ, օրինակ հանդիսանայ բոլոր բարեձեւ կարգի, կրօնի, աղօթքի, պահեցողութեան, խոնարհութեան, հեզութեան, ուղղութեան, ճշմարտութեան, տքնութեան, արտասուքի, խաղաղութեան, հանդարտութեան, սիրոյ, երկայնամտութեան, իրա-ւունքի, արդարութեան, աշխատասիրութեան, ժուժկալութեան, պար-կեշտութեան, զգաստութեան, անարատութեան եւ ամբծութեան:</w:t>
      </w:r>
    </w:p>
    <w:p w14:paraId="0D677AB7"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Ճգնաւորները երկրի վրայ հրեշտակային կարգը առած են, երկնային յոյսին յիշատակովը կ՚ապրին եւ կը ջանան երկնաւոր Հօր նմանիլ, որովհետեւ Քրիստոսի հետ մէկ մարմին են եւ իրարու զօդուած են այն սուրբ սիրով եւ միաբանութեամբ, որ բոլոր բարիքներու մայրն է:</w:t>
      </w:r>
    </w:p>
    <w:p w14:paraId="55DB6EA9"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5E311B5D" w14:textId="77777777" w:rsidR="00987897" w:rsidRPr="005B39E0" w:rsidRDefault="00987897" w:rsidP="00987897">
      <w:pPr>
        <w:jc w:val="center"/>
        <w:rPr>
          <w:rFonts w:ascii="Sylfaen" w:hAnsi="Sylfaen"/>
          <w:bCs/>
          <w:iCs/>
          <w:sz w:val="28"/>
          <w:szCs w:val="28"/>
        </w:rPr>
      </w:pPr>
      <w:r w:rsidRPr="005B39E0">
        <w:rPr>
          <w:rFonts w:ascii="Sylfaen" w:hAnsi="Sylfaen"/>
          <w:bCs/>
          <w:iCs/>
          <w:sz w:val="28"/>
          <w:szCs w:val="28"/>
          <w:lang w:val="hy-AM"/>
        </w:rPr>
        <w:t>* * *</w:t>
      </w:r>
    </w:p>
    <w:p w14:paraId="1CF3B40D"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lang w:val="hy-AM"/>
        </w:rPr>
        <w:t> </w:t>
      </w:r>
    </w:p>
    <w:p w14:paraId="4C4F1477"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Այս հոգեւոր խորհրդածութիւնը կ՚ուզեմ փակել Ս. Գրիգոր Լու-սաւորչի տիպարը անմահացնող եւ մեր ժողովուրդի բարեպաշտութեան մէջ մասնաւոր յարգանքի արժանացած անոր օրհնաբաշխ Աջին նուիրուած քանի մը մտածումներով:</w:t>
      </w:r>
    </w:p>
    <w:p w14:paraId="10D0E67C"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 xml:space="preserve">Առաջին, Ս. Գրիգոր Լուսաւորիչ աղօթասաց հաւատացեալ հայ-րապետ մըն էր: Կը պատմուի, թէ կաթողիկոսական պարտաւորութ-իւնները ձգելէ ետք երբ ճգնութեան մէջ էր, ուզեց Երուսաղէմ սուրբ տեղերուն ուխտի երթալ եւ ծունկերուն վրայ քալելով Սեպուհ լեռան </w:t>
      </w:r>
      <w:r w:rsidRPr="005B39E0">
        <w:rPr>
          <w:rFonts w:ascii="Sylfaen" w:hAnsi="Sylfaen"/>
          <w:bCs/>
          <w:iCs/>
          <w:sz w:val="28"/>
          <w:szCs w:val="28"/>
          <w:lang w:val="hy-AM"/>
        </w:rPr>
        <w:lastRenderedPageBreak/>
        <w:t>ստորոտը իջաւ, ուր երկու սերովբէներ եկան եւ յայտնեցին Քրիստոսի պատգամը, թէ «կը պատկառինք քու անտանելի ճգնութենէդ. ոտքի ելիր եւ լեռդ բարձրացիր եւ հոն պիտի վախճանիս»:</w:t>
      </w:r>
    </w:p>
    <w:p w14:paraId="3926E0F0"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Յովհաննէս Դրասխանակերտցի Կաթողիկոս կը վկայէ, թէ Ս. Գրիգոր Լուսաւորչի ճգնողական քարայրին մէջ «տէրունական սեղան կար պատարագի համար»: </w:t>
      </w:r>
    </w:p>
    <w:p w14:paraId="23903261"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Երկրորդ, Ս. Գրիգոր Լուսաւորիչ հրաշագործ հայրապետ մըն էր: Յովհաննէս Երզնկացի կը վկայէ, թէ Սեպուհ լեռան մօտերը երկու աղբիւրներ կային, որոնք Լուսաւորչի աղօթքներով հրաշագործութեան միջոցներ դարձան: Մէկը կոյրին տեսողութիւն տալու զօրութեամբ օժտուած կը կոչուէր </w:t>
      </w:r>
      <w:r w:rsidRPr="005B39E0">
        <w:rPr>
          <w:rFonts w:ascii="Sylfaen" w:hAnsi="Sylfaen"/>
          <w:bCs/>
          <w:i/>
          <w:iCs/>
          <w:sz w:val="28"/>
          <w:szCs w:val="28"/>
          <w:lang w:val="hy-AM"/>
        </w:rPr>
        <w:t>լուսոյ աղբիւր</w:t>
      </w:r>
      <w:r w:rsidRPr="005B39E0">
        <w:rPr>
          <w:rFonts w:ascii="Sylfaen" w:hAnsi="Sylfaen"/>
          <w:bCs/>
          <w:iCs/>
          <w:sz w:val="28"/>
          <w:szCs w:val="28"/>
          <w:lang w:val="hy-AM"/>
        </w:rPr>
        <w:t>, իսկ միւսը աղի համը փոխած ըլլալուն համար կը կոչուէր </w:t>
      </w:r>
      <w:r w:rsidRPr="005B39E0">
        <w:rPr>
          <w:rFonts w:ascii="Sylfaen" w:hAnsi="Sylfaen"/>
          <w:bCs/>
          <w:i/>
          <w:iCs/>
          <w:sz w:val="28"/>
          <w:szCs w:val="28"/>
          <w:lang w:val="hy-AM"/>
        </w:rPr>
        <w:t>բարեհամ աղբիւր</w:t>
      </w:r>
      <w:r w:rsidRPr="005B39E0">
        <w:rPr>
          <w:rFonts w:ascii="Sylfaen" w:hAnsi="Sylfaen"/>
          <w:bCs/>
          <w:iCs/>
          <w:sz w:val="28"/>
          <w:szCs w:val="28"/>
          <w:lang w:val="hy-AM"/>
        </w:rPr>
        <w:t>: </w:t>
      </w:r>
    </w:p>
    <w:p w14:paraId="6DE968E2"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Տրդատ թագաւոր միացաւ Լուսաւորչի՝ Սեպուհ լեռան վրայ ճգնելու եւ երբ իր հետ բերած թուրը հանեց եւ մէկդի նետեց, թուրը գետին չ՚ինկաւ, այլ օդին մէջ կախուած մնաց եւ լոյսի նման կը ցոլար Սեպուհ լեռան բարձունքին: </w:t>
      </w:r>
    </w:p>
    <w:p w14:paraId="2E69A867"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Ստոյգ չենք գիտեր, թէ երբ եւ ինչպէս Ս. Գրիգոր Լուսաւորչի նշխարները յայտնուեցան եւ բաժնուեցան: Ղազար Փարպեցի կը պատմէ, թէ Վարդանանց ժամանակ, երբ հայոց նախարարները Պարսկաստանէն վերադարձան Հայաստան, եկեղեցւոյ պաշտօնեաները զիրենք դիմա-ւորեցին՝ «Իրենց հետ կենսատու խաչին նշանը եւ սուրբ ու առաքելանման նահատակ Գրիգորի նշխարները բերելով»:</w:t>
      </w:r>
    </w:p>
    <w:p w14:paraId="266E4C77"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Սուրբին նշխարները Զենոն կայսեր հրամանով բռնութեամբ Բիւ-զանդիոն տարուեցան, հայոց մօտ միայն աջ ձեռքը եւ ուրիշ մաս մը մնացին: </w:t>
      </w:r>
    </w:p>
    <w:p w14:paraId="70782AEC"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Ներսէս Գ. Շինող Կաթողիկոս (Է. դար), Սուրբին յիշատակին Վաղարշապատի մօտ հոյակապ եկեղեցի մը կանգնեցուց, որ կը կոչուի Առապարի Ս. Գրիգոր կամ Զուարթնոց: Յովհաննէս Դրասխանակերտցի Կաթողիկոս կը վկայէ, թէ Ներսէս Գ. Շինող Կաթողիկոս նոյն եկեղեցւոյ հիմքերուն մէջ ամփոփեց Լուսաւորչի մասունքները: </w:t>
      </w:r>
    </w:p>
    <w:p w14:paraId="4D139AB1"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Սուրբին Աջով տրուող օրհնութիւնը Ե. դարէն յիշատակուած է: Ս. Ներսէս Շնորհալի Կաթողիկոս (ԺԲ. դար), իր </w:t>
      </w:r>
      <w:r w:rsidRPr="005B39E0">
        <w:rPr>
          <w:rFonts w:ascii="Sylfaen" w:hAnsi="Sylfaen"/>
          <w:bCs/>
          <w:i/>
          <w:iCs/>
          <w:sz w:val="28"/>
          <w:szCs w:val="28"/>
          <w:lang w:val="hy-AM"/>
        </w:rPr>
        <w:t>Ընդհանրական Թուղթ</w:t>
      </w:r>
      <w:r w:rsidRPr="005B39E0">
        <w:rPr>
          <w:rFonts w:ascii="Sylfaen" w:hAnsi="Sylfaen"/>
          <w:bCs/>
          <w:iCs/>
          <w:sz w:val="28"/>
          <w:szCs w:val="28"/>
          <w:lang w:val="hy-AM"/>
        </w:rPr>
        <w:t xml:space="preserve">-ին մէջ կը յիշէ Սուրբին Աջին օրհնութիւնը՝«Սիրոյ եւ խաղաղութեան ողջոյն թող հասնի (ձեզի) աստուածընկալ եւ փրկական սուրբ խաչէս, մեր Լուսաւորչին Աջէն եւ մեր Աթոռէն»: Մինչեւ այսօր Կաթողիկոսական </w:t>
      </w:r>
      <w:r w:rsidRPr="005B39E0">
        <w:rPr>
          <w:rFonts w:ascii="Sylfaen" w:hAnsi="Sylfaen"/>
          <w:bCs/>
          <w:iCs/>
          <w:sz w:val="28"/>
          <w:szCs w:val="28"/>
          <w:lang w:val="hy-AM"/>
        </w:rPr>
        <w:lastRenderedPageBreak/>
        <w:t>սրբատառ կոնդակներուն մէջ կը կարդանք՝ «Շնորհք, սէր եւ խաղա-ղութիւն Տիրոջմէն, հայրապետական ողջոյն մեզմէ եւ օրհնութիւն մեր հօր Գրիգոր Լուսաւորչի Աջէն»:</w:t>
      </w:r>
    </w:p>
    <w:p w14:paraId="042254FE"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Սրբալոյս միւռոնի օրհնութիւնը կը կատարուի Սուրբին Աջով:</w:t>
      </w:r>
    </w:p>
    <w:p w14:paraId="34233BD6"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1931-էն ի վեր Մեծ Պահքի Ս. Գրիգոր Լուսաւորչի Խոր Վիրապ Մուտքի տօնին յաջորդող Գալստեան Կիրակիին Անթիլիասի </w:t>
      </w:r>
      <w:r w:rsidRPr="005B39E0">
        <w:rPr>
          <w:rFonts w:ascii="Sylfaen" w:hAnsi="Sylfaen"/>
          <w:bCs/>
          <w:i/>
          <w:iCs/>
          <w:sz w:val="28"/>
          <w:szCs w:val="28"/>
          <w:lang w:val="hy-AM"/>
        </w:rPr>
        <w:t>Ուխտի Օր</w:t>
      </w:r>
      <w:r w:rsidRPr="005B39E0">
        <w:rPr>
          <w:rFonts w:ascii="Sylfaen" w:hAnsi="Sylfaen"/>
          <w:bCs/>
          <w:iCs/>
          <w:sz w:val="28"/>
          <w:szCs w:val="28"/>
          <w:lang w:val="hy-AM"/>
        </w:rPr>
        <w:t>-ը կը կատարուի եւ Սուրբին Աջով մեծահանդէս թափօր կը կազմուի:</w:t>
      </w:r>
    </w:p>
    <w:p w14:paraId="46BB56FC"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Պատմութեան ընթացքին կը յիշատակուին նաեւ Սուրբին Աջին կորսուելուն եւ գողութեան պարագաներ: Հոս կը մէջբերենք միայն մէկ պարագայ, որ կապուած է Ս. Աջին հրաշագործ զօրութեան հետ: 1294 թուականին, Կիլիկիոյ Հեթում Բ. Թագաւորը Եգիպտոսէն Սիս կը վերադարձնէ Ս. Աջը: Առաքել Դաւրիժեցի կը պատմէ, թէ երբ Ս. Աջը Եգիպտոսի Սուլթանին ապարանքը տարին, անհամար թիւով մարդիկ մահացած հոն, մինչեւ որ Ս. Աջը հայերուն վերադարձուցին:</w:t>
      </w:r>
    </w:p>
    <w:p w14:paraId="1C04DE03" w14:textId="77777777" w:rsidR="00987897" w:rsidRPr="005B39E0" w:rsidRDefault="00987897" w:rsidP="00987897">
      <w:pPr>
        <w:ind w:firstLine="720"/>
        <w:jc w:val="both"/>
        <w:rPr>
          <w:rFonts w:ascii="Sylfaen" w:hAnsi="Sylfaen"/>
          <w:bCs/>
          <w:iCs/>
          <w:sz w:val="28"/>
          <w:szCs w:val="28"/>
        </w:rPr>
      </w:pPr>
      <w:r w:rsidRPr="005B39E0">
        <w:rPr>
          <w:rFonts w:ascii="Sylfaen" w:hAnsi="Sylfaen"/>
          <w:bCs/>
          <w:iCs/>
          <w:sz w:val="28"/>
          <w:szCs w:val="28"/>
          <w:lang w:val="hy-AM"/>
        </w:rPr>
        <w:t>Լսելէ ետք մեծ սուրբին հոգելից մտածումներն ու քրիստոնէական խրատները եւ անցեալ Կիրակի վայելելէ ետք անոր հրաշագործ Ս. Աջին անսպառ օրհնութիւնները, եկէ՛ք դիմենք իրեն, որ մեր Երկնաւոր Հօր մօտ բարեխօսէ մեզի համար, որպէսզի կարենանք մեղքերէ սրբուած պատ-րաստուիլ գովերգելու մեր Փրկչին հրաշափառ յարութիւնը. </w:t>
      </w:r>
      <w:r w:rsidRPr="005B39E0">
        <w:rPr>
          <w:rFonts w:ascii="Sylfaen" w:hAnsi="Sylfaen"/>
          <w:bCs/>
          <w:iCs/>
          <w:sz w:val="28"/>
          <w:szCs w:val="28"/>
        </w:rPr>
        <w:t>ամէն:</w:t>
      </w:r>
    </w:p>
    <w:p w14:paraId="01C5D21D" w14:textId="77777777" w:rsidR="00987897" w:rsidRPr="005B39E0" w:rsidRDefault="00987897" w:rsidP="00987897">
      <w:pPr>
        <w:jc w:val="both"/>
        <w:rPr>
          <w:rFonts w:ascii="Sylfaen" w:hAnsi="Sylfaen"/>
          <w:bCs/>
          <w:iCs/>
          <w:sz w:val="28"/>
          <w:szCs w:val="28"/>
        </w:rPr>
      </w:pPr>
      <w:r w:rsidRPr="005B39E0">
        <w:rPr>
          <w:rFonts w:ascii="Sylfaen" w:hAnsi="Sylfaen"/>
          <w:bCs/>
          <w:iCs/>
          <w:sz w:val="28"/>
          <w:szCs w:val="28"/>
        </w:rPr>
        <w:t> </w:t>
      </w:r>
    </w:p>
    <w:p w14:paraId="1D1A5EC8" w14:textId="77777777" w:rsidR="00987897" w:rsidRPr="005B39E0" w:rsidRDefault="00987897" w:rsidP="00987897">
      <w:pPr>
        <w:jc w:val="right"/>
        <w:rPr>
          <w:rFonts w:ascii="Sylfaen" w:hAnsi="Sylfaen"/>
          <w:bCs/>
          <w:iCs/>
          <w:sz w:val="28"/>
          <w:szCs w:val="28"/>
        </w:rPr>
      </w:pPr>
      <w:r w:rsidRPr="005B39E0">
        <w:rPr>
          <w:rFonts w:ascii="Sylfaen" w:hAnsi="Sylfaen"/>
          <w:bCs/>
          <w:iCs/>
          <w:sz w:val="28"/>
          <w:szCs w:val="28"/>
        </w:rPr>
        <w:t>Նարեկ Ծ. Վրդ. Ալեէմէզեան</w:t>
      </w:r>
    </w:p>
    <w:p w14:paraId="17B2D3A3" w14:textId="2C712705" w:rsidR="00987897" w:rsidRPr="005B39E0" w:rsidRDefault="00987897" w:rsidP="00987897">
      <w:pPr>
        <w:jc w:val="both"/>
        <w:rPr>
          <w:rFonts w:ascii="Sylfaen" w:hAnsi="Sylfaen"/>
          <w:bCs/>
          <w:iCs/>
          <w:sz w:val="28"/>
          <w:szCs w:val="28"/>
        </w:rPr>
      </w:pPr>
    </w:p>
    <w:p w14:paraId="426DC871" w14:textId="77777777" w:rsidR="00987897" w:rsidRPr="005B39E0" w:rsidRDefault="00987897" w:rsidP="00987897">
      <w:pPr>
        <w:jc w:val="both"/>
        <w:rPr>
          <w:rFonts w:ascii="Sylfaen" w:hAnsi="Sylfaen"/>
          <w:bCs/>
          <w:iCs/>
          <w:sz w:val="28"/>
          <w:szCs w:val="28"/>
        </w:rPr>
      </w:pPr>
    </w:p>
    <w:p w14:paraId="08AF61AF" w14:textId="77777777" w:rsidR="00987897" w:rsidRDefault="00987897" w:rsidP="00987897">
      <w:pPr>
        <w:jc w:val="both"/>
        <w:rPr>
          <w:rFonts w:ascii="Sylfaen" w:hAnsi="Sylfaen"/>
          <w:bCs/>
          <w:iCs/>
          <w:sz w:val="28"/>
          <w:szCs w:val="28"/>
        </w:rPr>
      </w:pPr>
    </w:p>
    <w:p w14:paraId="7B9A50C3" w14:textId="77777777" w:rsidR="00FC035D" w:rsidRPr="005B39E0" w:rsidRDefault="00FC035D" w:rsidP="00987897">
      <w:pPr>
        <w:jc w:val="both"/>
        <w:rPr>
          <w:rFonts w:ascii="Sylfaen" w:hAnsi="Sylfaen"/>
          <w:bCs/>
          <w:iCs/>
          <w:sz w:val="28"/>
          <w:szCs w:val="28"/>
        </w:rPr>
      </w:pPr>
    </w:p>
    <w:p w14:paraId="4B4326C1" w14:textId="77777777" w:rsidR="00987897" w:rsidRPr="005B39E0" w:rsidRDefault="00987897" w:rsidP="00FC035D">
      <w:pPr>
        <w:jc w:val="center"/>
        <w:rPr>
          <w:rFonts w:ascii="Sylfaen" w:hAnsi="Sylfaen"/>
          <w:bCs/>
          <w:iCs/>
        </w:rPr>
      </w:pPr>
      <w:r w:rsidRPr="005B39E0">
        <w:rPr>
          <w:rFonts w:ascii="Sylfaen" w:hAnsi="Sylfaen"/>
          <w:b/>
          <w:bCs/>
          <w:iCs/>
          <w:u w:val="single"/>
        </w:rPr>
        <w:t>Աղբիւրներ</w:t>
      </w:r>
    </w:p>
    <w:p w14:paraId="6A328C15" w14:textId="77777777" w:rsidR="00987897" w:rsidRPr="005B39E0" w:rsidRDefault="00987897" w:rsidP="00987897">
      <w:pPr>
        <w:jc w:val="both"/>
        <w:rPr>
          <w:rFonts w:ascii="Sylfaen" w:hAnsi="Sylfaen"/>
          <w:bCs/>
          <w:iCs/>
        </w:rPr>
      </w:pPr>
      <w:r w:rsidRPr="005B39E0">
        <w:rPr>
          <w:rFonts w:ascii="Sylfaen" w:hAnsi="Sylfaen"/>
          <w:bCs/>
          <w:iCs/>
        </w:rPr>
        <w:t>1.    </w:t>
      </w:r>
      <w:r w:rsidRPr="005B39E0">
        <w:rPr>
          <w:rFonts w:ascii="Sylfaen" w:hAnsi="Sylfaen"/>
          <w:bCs/>
          <w:i/>
          <w:iCs/>
        </w:rPr>
        <w:t>ՍՐԲՈՅ ՀՕՐՆ ՄԵՐՈՅ ԳՐԻԳՈՐԻ ԼՈՒՍԱՒՈՐՉԻ ՅԱՃԱԽԱՊԱՏՈՒՄ ՃԱՌՔ ԵՒ ԱՂՕԹՔ</w:t>
      </w:r>
      <w:r w:rsidRPr="005B39E0">
        <w:rPr>
          <w:rFonts w:ascii="Sylfaen" w:hAnsi="Sylfaen"/>
          <w:bCs/>
          <w:iCs/>
        </w:rPr>
        <w:t>, Ի Վենետիկ, Ի Տպարանի Սրբոյն Ղազարու, Յամի 1838 ՌՄՁԷ</w:t>
      </w:r>
    </w:p>
    <w:p w14:paraId="3034F6E5" w14:textId="77777777" w:rsidR="00987897" w:rsidRPr="005B39E0" w:rsidRDefault="00987897" w:rsidP="00987897">
      <w:pPr>
        <w:jc w:val="both"/>
        <w:rPr>
          <w:rFonts w:ascii="Sylfaen" w:hAnsi="Sylfaen"/>
          <w:bCs/>
          <w:iCs/>
        </w:rPr>
      </w:pPr>
      <w:r w:rsidRPr="005B39E0">
        <w:rPr>
          <w:rFonts w:ascii="Sylfaen" w:hAnsi="Sylfaen"/>
          <w:bCs/>
          <w:iCs/>
        </w:rPr>
        <w:t>2.    </w:t>
      </w:r>
      <w:r w:rsidRPr="005B39E0">
        <w:rPr>
          <w:rFonts w:ascii="Sylfaen" w:hAnsi="Sylfaen"/>
          <w:bCs/>
          <w:i/>
          <w:iCs/>
        </w:rPr>
        <w:t>ՍՐԲՈՅ ՀՕՐՆ ՄԵՐՈՅ ԵՐԱՆԵԼՒՈՅՆ ԳՐԻԳՈՐԻ ԼՈՒՍԱՒՈՐՉԻ ՅԱՃԱ-ԽԱՊԱՏՈՒՄ ՃԱՌՔ ԼՈՒՍԱՒՈՐՔ</w:t>
      </w:r>
      <w:r w:rsidRPr="005B39E0">
        <w:rPr>
          <w:rFonts w:ascii="Sylfaen" w:hAnsi="Sylfaen"/>
          <w:bCs/>
          <w:iCs/>
        </w:rPr>
        <w:t>, Վաղարշապատ, Տպարան Մայր Աթոռոյ Սրբոյ Էջմիածնի, 1894–96</w:t>
      </w:r>
    </w:p>
    <w:p w14:paraId="7AF06CEE" w14:textId="77777777" w:rsidR="00987897" w:rsidRPr="005B39E0" w:rsidRDefault="00987897" w:rsidP="00987897">
      <w:pPr>
        <w:jc w:val="both"/>
        <w:rPr>
          <w:rFonts w:ascii="Sylfaen" w:hAnsi="Sylfaen"/>
          <w:bCs/>
          <w:iCs/>
        </w:rPr>
      </w:pPr>
      <w:r w:rsidRPr="005B39E0">
        <w:rPr>
          <w:rFonts w:ascii="Sylfaen" w:hAnsi="Sylfaen"/>
          <w:bCs/>
          <w:iCs/>
        </w:rPr>
        <w:t>3.    </w:t>
      </w:r>
      <w:r w:rsidRPr="005B39E0">
        <w:rPr>
          <w:rFonts w:ascii="Sylfaen" w:hAnsi="Sylfaen"/>
          <w:bCs/>
          <w:i/>
          <w:iCs/>
        </w:rPr>
        <w:t>ՍՈՓԵՐՔ ՀԱՅԿԱԿԱՆՔ</w:t>
      </w:r>
      <w:r w:rsidRPr="005B39E0">
        <w:rPr>
          <w:rFonts w:ascii="Sylfaen" w:hAnsi="Sylfaen"/>
          <w:bCs/>
          <w:iCs/>
        </w:rPr>
        <w:t>, Դ. Հատոր, Վենետիկ, 1853</w:t>
      </w:r>
    </w:p>
    <w:p w14:paraId="748FDA13" w14:textId="77777777" w:rsidR="00987897" w:rsidRPr="005B39E0" w:rsidRDefault="00987897" w:rsidP="00987897">
      <w:pPr>
        <w:jc w:val="both"/>
        <w:rPr>
          <w:rFonts w:ascii="Sylfaen" w:hAnsi="Sylfaen"/>
          <w:bCs/>
          <w:iCs/>
        </w:rPr>
      </w:pPr>
      <w:r w:rsidRPr="005B39E0">
        <w:rPr>
          <w:rFonts w:ascii="Sylfaen" w:hAnsi="Sylfaen"/>
          <w:bCs/>
          <w:iCs/>
        </w:rPr>
        <w:t>4.    </w:t>
      </w:r>
      <w:r w:rsidRPr="005B39E0">
        <w:rPr>
          <w:rFonts w:ascii="Sylfaen" w:hAnsi="Sylfaen"/>
          <w:bCs/>
          <w:i/>
          <w:iCs/>
        </w:rPr>
        <w:t>ԱԶԳԱՊԱՏՈՒՄ</w:t>
      </w:r>
      <w:r w:rsidRPr="005B39E0">
        <w:rPr>
          <w:rFonts w:ascii="Sylfaen" w:hAnsi="Sylfaen"/>
          <w:bCs/>
          <w:iCs/>
        </w:rPr>
        <w:t>, Ա. Հատոր, Մասն Ա., Մաղաքիա Արք. Օրմանեան, Տպ. Սեւան, Պէյրութ, 1959</w:t>
      </w:r>
    </w:p>
    <w:p w14:paraId="5FB828FD" w14:textId="557745C1" w:rsidR="007D7895" w:rsidRPr="00955E7B" w:rsidRDefault="00987897" w:rsidP="00955E7B">
      <w:pPr>
        <w:jc w:val="both"/>
        <w:rPr>
          <w:rFonts w:ascii="Sylfaen" w:hAnsi="Sylfaen"/>
          <w:bCs/>
          <w:iCs/>
        </w:rPr>
      </w:pPr>
      <w:r w:rsidRPr="005B39E0">
        <w:rPr>
          <w:rFonts w:ascii="Sylfaen" w:hAnsi="Sylfaen"/>
          <w:bCs/>
          <w:iCs/>
        </w:rPr>
        <w:t>5.    </w:t>
      </w:r>
      <w:r w:rsidRPr="005B39E0">
        <w:rPr>
          <w:rFonts w:ascii="Sylfaen" w:hAnsi="Sylfaen"/>
          <w:bCs/>
          <w:i/>
          <w:iCs/>
        </w:rPr>
        <w:t>ՀԱՅՈՑ ՀԻՆ ԳՐԱԿԱՆՈՒԹԵԱՆ ՊԱՏՄՈՒԹԻՒՆ</w:t>
      </w:r>
      <w:r w:rsidRPr="005B39E0">
        <w:rPr>
          <w:rFonts w:ascii="Sylfaen" w:hAnsi="Sylfaen"/>
          <w:bCs/>
          <w:iCs/>
        </w:rPr>
        <w:t>, Գիրք Առաջին, Ակադ. Մանուկ Աբեղեան, Տպ. Սեւան, Պէյրութ, 1955</w:t>
      </w:r>
    </w:p>
    <w:sectPr w:rsidR="007D7895" w:rsidRPr="00955E7B">
      <w:footerReference w:type="even" r:id="rId6"/>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29EFBF0" w14:textId="77777777" w:rsidR="00826F3B" w:rsidRDefault="00826F3B" w:rsidP="00955E7B">
      <w:r>
        <w:separator/>
      </w:r>
    </w:p>
  </w:endnote>
  <w:endnote w:type="continuationSeparator" w:id="0">
    <w:p w14:paraId="52A64807" w14:textId="77777777" w:rsidR="00826F3B" w:rsidRDefault="00826F3B" w:rsidP="00955E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rial AM">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ylfaen">
    <w:panose1 w:val="010A0502050306030303"/>
    <w:charset w:val="00"/>
    <w:family w:val="roman"/>
    <w:pitch w:val="variable"/>
    <w:sig w:usb0="04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300025764"/>
      <w:docPartObj>
        <w:docPartGallery w:val="Page Numbers (Bottom of Page)"/>
        <w:docPartUnique/>
      </w:docPartObj>
    </w:sdtPr>
    <w:sdtContent>
      <w:p w14:paraId="294D8152" w14:textId="0F2C04BB" w:rsidR="00955E7B" w:rsidRDefault="00955E7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C5D1077" w14:textId="77777777" w:rsidR="00955E7B" w:rsidRDefault="00955E7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856152870"/>
      <w:docPartObj>
        <w:docPartGallery w:val="Page Numbers (Bottom of Page)"/>
        <w:docPartUnique/>
      </w:docPartObj>
    </w:sdtPr>
    <w:sdtContent>
      <w:p w14:paraId="5E586BA6" w14:textId="04A7C110" w:rsidR="00955E7B" w:rsidRDefault="00955E7B" w:rsidP="002C5C20">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7</w:t>
        </w:r>
        <w:r>
          <w:rPr>
            <w:rStyle w:val="PageNumber"/>
          </w:rPr>
          <w:fldChar w:fldCharType="end"/>
        </w:r>
      </w:p>
    </w:sdtContent>
  </w:sdt>
  <w:p w14:paraId="746B95A2" w14:textId="77777777" w:rsidR="00955E7B" w:rsidRDefault="00955E7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184D3CB" w14:textId="77777777" w:rsidR="00826F3B" w:rsidRDefault="00826F3B" w:rsidP="00955E7B">
      <w:r>
        <w:separator/>
      </w:r>
    </w:p>
  </w:footnote>
  <w:footnote w:type="continuationSeparator" w:id="0">
    <w:p w14:paraId="10E86DAC" w14:textId="77777777" w:rsidR="00826F3B" w:rsidRDefault="00826F3B" w:rsidP="00955E7B">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897"/>
    <w:rsid w:val="00157BF2"/>
    <w:rsid w:val="003D7CBC"/>
    <w:rsid w:val="005824C9"/>
    <w:rsid w:val="007D7895"/>
    <w:rsid w:val="00826F3B"/>
    <w:rsid w:val="008648EA"/>
    <w:rsid w:val="00933F47"/>
    <w:rsid w:val="00955E7B"/>
    <w:rsid w:val="00987897"/>
    <w:rsid w:val="00AE4D75"/>
    <w:rsid w:val="00B41865"/>
    <w:rsid w:val="00FC035D"/>
  </w:rsids>
  <m:mathPr>
    <m:mathFont m:val="Cambria Math"/>
    <m:brkBin m:val="before"/>
    <m:brkBinSub m:val="--"/>
    <m:smallFrac m:val="0"/>
    <m:dispDef/>
    <m:lMargin m:val="0"/>
    <m:rMargin m:val="0"/>
    <m:defJc m:val="centerGroup"/>
    <m:wrapIndent m:val="1440"/>
    <m:intLim m:val="subSup"/>
    <m:naryLim m:val="undOvr"/>
  </m:mathPr>
  <w:themeFontLang w:val="en-LB" w:bidi="ar-SA"/>
  <w:clrSchemeMapping w:bg1="light1" w:t1="dark1" w:bg2="light2" w:t2="dark2" w:accent1="accent1" w:accent2="accent2" w:accent3="accent3" w:accent4="accent4" w:accent5="accent5" w:accent6="accent6" w:hyperlink="hyperlink" w:followedHyperlink="followedHyperlink"/>
  <w:decimalSymbol w:val="."/>
  <w:listSeparator w:val=","/>
  <w14:docId w14:val="11195540"/>
  <w15:chartTrackingRefBased/>
  <w15:docId w15:val="{B931F7F5-C541-6140-B39B-A741CB508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Arial AM" w:eastAsiaTheme="minorHAnsi" w:hAnsi="Arial AM" w:cs="Arial"/>
        <w:color w:val="333333"/>
        <w:sz w:val="24"/>
        <w:szCs w:val="24"/>
        <w:lang w:val="en-L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7897"/>
    <w:rPr>
      <w:rFonts w:ascii="Times New Roman" w:eastAsia="Times New Roman" w:hAnsi="Times New Roman" w:cs="Times New Roman"/>
      <w:color w:val="auto"/>
    </w:rPr>
  </w:style>
  <w:style w:type="paragraph" w:styleId="Heading1">
    <w:name w:val="heading 1"/>
    <w:basedOn w:val="Normal"/>
    <w:next w:val="Normal"/>
    <w:link w:val="Heading1Char"/>
    <w:uiPriority w:val="9"/>
    <w:qFormat/>
    <w:rsid w:val="0098789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789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7897"/>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7897"/>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987897"/>
    <w:pPr>
      <w:keepNext/>
      <w:keepLines/>
      <w:spacing w:before="80" w:after="40"/>
      <w:outlineLvl w:val="4"/>
    </w:pPr>
    <w:rPr>
      <w:rFonts w:asciiTheme="minorHAnsi" w:eastAsiaTheme="majorEastAsia" w:hAnsiTheme="minorHAnsi" w:cstheme="majorBidi"/>
      <w:color w:val="2F5496" w:themeColor="accent1" w:themeShade="BF"/>
    </w:rPr>
  </w:style>
  <w:style w:type="paragraph" w:styleId="Heading6">
    <w:name w:val="heading 6"/>
    <w:basedOn w:val="Normal"/>
    <w:next w:val="Normal"/>
    <w:link w:val="Heading6Char"/>
    <w:uiPriority w:val="9"/>
    <w:semiHidden/>
    <w:unhideWhenUsed/>
    <w:qFormat/>
    <w:rsid w:val="00987897"/>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987897"/>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987897"/>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987897"/>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789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789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7897"/>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7897"/>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987897"/>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987897"/>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987897"/>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987897"/>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987897"/>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98789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7897"/>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987897"/>
    <w:pPr>
      <w:numPr>
        <w:ilvl w:val="1"/>
      </w:numPr>
      <w:spacing w:after="160"/>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7897"/>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987897"/>
    <w:pPr>
      <w:spacing w:before="160" w:after="160"/>
      <w:jc w:val="center"/>
    </w:pPr>
    <w:rPr>
      <w:rFonts w:ascii="Arial AM" w:eastAsiaTheme="minorHAnsi" w:hAnsi="Arial AM" w:cs="Arial"/>
      <w:i/>
      <w:iCs/>
      <w:color w:val="404040" w:themeColor="text1" w:themeTint="BF"/>
    </w:rPr>
  </w:style>
  <w:style w:type="character" w:customStyle="1" w:styleId="QuoteChar">
    <w:name w:val="Quote Char"/>
    <w:basedOn w:val="DefaultParagraphFont"/>
    <w:link w:val="Quote"/>
    <w:uiPriority w:val="29"/>
    <w:rsid w:val="00987897"/>
    <w:rPr>
      <w:i/>
      <w:iCs/>
      <w:color w:val="404040" w:themeColor="text1" w:themeTint="BF"/>
    </w:rPr>
  </w:style>
  <w:style w:type="paragraph" w:styleId="ListParagraph">
    <w:name w:val="List Paragraph"/>
    <w:basedOn w:val="Normal"/>
    <w:uiPriority w:val="34"/>
    <w:qFormat/>
    <w:rsid w:val="00987897"/>
    <w:pPr>
      <w:ind w:left="720"/>
      <w:contextualSpacing/>
    </w:pPr>
    <w:rPr>
      <w:rFonts w:ascii="Arial AM" w:eastAsiaTheme="minorHAnsi" w:hAnsi="Arial AM" w:cs="Arial"/>
      <w:color w:val="333333"/>
    </w:rPr>
  </w:style>
  <w:style w:type="character" w:styleId="IntenseEmphasis">
    <w:name w:val="Intense Emphasis"/>
    <w:basedOn w:val="DefaultParagraphFont"/>
    <w:uiPriority w:val="21"/>
    <w:qFormat/>
    <w:rsid w:val="00987897"/>
    <w:rPr>
      <w:i/>
      <w:iCs/>
      <w:color w:val="2F5496" w:themeColor="accent1" w:themeShade="BF"/>
    </w:rPr>
  </w:style>
  <w:style w:type="paragraph" w:styleId="IntenseQuote">
    <w:name w:val="Intense Quote"/>
    <w:basedOn w:val="Normal"/>
    <w:next w:val="Normal"/>
    <w:link w:val="IntenseQuoteChar"/>
    <w:uiPriority w:val="30"/>
    <w:qFormat/>
    <w:rsid w:val="00987897"/>
    <w:pPr>
      <w:pBdr>
        <w:top w:val="single" w:sz="4" w:space="10" w:color="2F5496" w:themeColor="accent1" w:themeShade="BF"/>
        <w:bottom w:val="single" w:sz="4" w:space="10" w:color="2F5496" w:themeColor="accent1" w:themeShade="BF"/>
      </w:pBdr>
      <w:spacing w:before="360" w:after="360"/>
      <w:ind w:left="864" w:right="864"/>
      <w:jc w:val="center"/>
    </w:pPr>
    <w:rPr>
      <w:rFonts w:ascii="Arial AM" w:eastAsiaTheme="minorHAnsi" w:hAnsi="Arial AM" w:cs="Arial"/>
      <w:i/>
      <w:iCs/>
      <w:color w:val="2F5496" w:themeColor="accent1" w:themeShade="BF"/>
    </w:rPr>
  </w:style>
  <w:style w:type="character" w:customStyle="1" w:styleId="IntenseQuoteChar">
    <w:name w:val="Intense Quote Char"/>
    <w:basedOn w:val="DefaultParagraphFont"/>
    <w:link w:val="IntenseQuote"/>
    <w:uiPriority w:val="30"/>
    <w:rsid w:val="00987897"/>
    <w:rPr>
      <w:i/>
      <w:iCs/>
      <w:color w:val="2F5496" w:themeColor="accent1" w:themeShade="BF"/>
    </w:rPr>
  </w:style>
  <w:style w:type="character" w:styleId="IntenseReference">
    <w:name w:val="Intense Reference"/>
    <w:basedOn w:val="DefaultParagraphFont"/>
    <w:uiPriority w:val="32"/>
    <w:qFormat/>
    <w:rsid w:val="00987897"/>
    <w:rPr>
      <w:b/>
      <w:bCs/>
      <w:smallCaps/>
      <w:color w:val="2F5496" w:themeColor="accent1" w:themeShade="BF"/>
      <w:spacing w:val="5"/>
    </w:rPr>
  </w:style>
  <w:style w:type="paragraph" w:styleId="Footer">
    <w:name w:val="footer"/>
    <w:basedOn w:val="Normal"/>
    <w:link w:val="FooterChar"/>
    <w:uiPriority w:val="99"/>
    <w:unhideWhenUsed/>
    <w:rsid w:val="00955E7B"/>
    <w:pPr>
      <w:tabs>
        <w:tab w:val="center" w:pos="4680"/>
        <w:tab w:val="right" w:pos="9360"/>
      </w:tabs>
    </w:pPr>
  </w:style>
  <w:style w:type="character" w:customStyle="1" w:styleId="FooterChar">
    <w:name w:val="Footer Char"/>
    <w:basedOn w:val="DefaultParagraphFont"/>
    <w:link w:val="Footer"/>
    <w:uiPriority w:val="99"/>
    <w:rsid w:val="00955E7B"/>
    <w:rPr>
      <w:rFonts w:ascii="Times New Roman" w:eastAsia="Times New Roman" w:hAnsi="Times New Roman" w:cs="Times New Roman"/>
      <w:color w:val="auto"/>
    </w:rPr>
  </w:style>
  <w:style w:type="character" w:styleId="PageNumber">
    <w:name w:val="page number"/>
    <w:basedOn w:val="DefaultParagraphFont"/>
    <w:uiPriority w:val="99"/>
    <w:semiHidden/>
    <w:unhideWhenUsed/>
    <w:rsid w:val="00955E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8</Pages>
  <Words>2160</Words>
  <Characters>12314</Characters>
  <Application>Microsoft Office Word</Application>
  <DocSecurity>0</DocSecurity>
  <Lines>102</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2026-07-08T15:36:00Z</dcterms:created>
  <dcterms:modified xsi:type="dcterms:W3CDTF">2026-07-08T15:43:00Z</dcterms:modified>
</cp:coreProperties>
</file>