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02B464" w14:textId="77777777" w:rsidR="00BE6E81" w:rsidRDefault="00BE6E81" w:rsidP="00BE6E81">
      <w:pPr>
        <w:pageBreakBefore/>
        <w:rPr>
          <w:rFonts w:ascii="Sylfaen" w:hAnsi="Sylfaen"/>
          <w:b/>
          <w:iCs/>
          <w:u w:val="single"/>
        </w:rPr>
      </w:pPr>
      <w:r w:rsidRPr="00931663">
        <w:rPr>
          <w:rFonts w:ascii="Sylfaen" w:hAnsi="Sylfaen"/>
          <w:b/>
          <w:iCs/>
          <w:u w:val="single"/>
        </w:rPr>
        <w:t>J</w:t>
      </w:r>
      <w:r>
        <w:rPr>
          <w:rFonts w:ascii="Sylfaen" w:hAnsi="Sylfaen"/>
          <w:b/>
          <w:iCs/>
          <w:u w:val="single"/>
        </w:rPr>
        <w:t xml:space="preserve">OINT CONSULTATIVE COMMISSION BETWEEN </w:t>
      </w:r>
    </w:p>
    <w:p w14:paraId="4BCF4050" w14:textId="77777777" w:rsidR="00BE6E81" w:rsidRDefault="00BE6E81" w:rsidP="00BE6E81">
      <w:pPr>
        <w:rPr>
          <w:rFonts w:ascii="Sylfaen" w:hAnsi="Sylfaen"/>
          <w:b/>
          <w:iCs/>
          <w:u w:val="single"/>
        </w:rPr>
      </w:pPr>
      <w:r>
        <w:rPr>
          <w:rFonts w:ascii="Sylfaen" w:hAnsi="Sylfaen"/>
          <w:b/>
          <w:iCs/>
          <w:u w:val="single"/>
        </w:rPr>
        <w:t xml:space="preserve">THE WORLD COUNCIL OF CHURCHES </w:t>
      </w:r>
    </w:p>
    <w:p w14:paraId="68E30AB0" w14:textId="77777777" w:rsidR="00BE6E81" w:rsidRPr="00931663" w:rsidRDefault="00BE6E81" w:rsidP="00BE6E81">
      <w:pPr>
        <w:rPr>
          <w:rFonts w:ascii="Sylfaen" w:hAnsi="Sylfaen"/>
          <w:b/>
          <w:iCs/>
          <w:u w:val="single"/>
        </w:rPr>
      </w:pPr>
      <w:r>
        <w:rPr>
          <w:rFonts w:ascii="Sylfaen" w:hAnsi="Sylfaen"/>
          <w:b/>
          <w:iCs/>
          <w:u w:val="single"/>
        </w:rPr>
        <w:t>AND THE CHRISTIAN WORLD COMMUNIONS</w:t>
      </w:r>
    </w:p>
    <w:p w14:paraId="691DE2AB" w14:textId="77777777" w:rsidR="00BE6E81" w:rsidRPr="00931663" w:rsidRDefault="00BE6E81" w:rsidP="00BE6E81">
      <w:pPr>
        <w:rPr>
          <w:rFonts w:ascii="Sylfaen" w:hAnsi="Sylfaen"/>
          <w:b/>
          <w:iCs/>
          <w:u w:val="single"/>
        </w:rPr>
      </w:pPr>
      <w:r w:rsidRPr="00931663">
        <w:rPr>
          <w:rFonts w:ascii="Sylfaen" w:hAnsi="Sylfaen"/>
          <w:b/>
          <w:iCs/>
          <w:u w:val="single"/>
        </w:rPr>
        <w:t>10 May 2007, Geneva</w:t>
      </w:r>
    </w:p>
    <w:p w14:paraId="3A8DA711" w14:textId="77777777" w:rsidR="00BE6E81" w:rsidRPr="00931663" w:rsidRDefault="00BE6E81" w:rsidP="00BE6E81">
      <w:pPr>
        <w:rPr>
          <w:rFonts w:ascii="Sylfaen" w:hAnsi="Sylfaen"/>
          <w:sz w:val="28"/>
          <w:szCs w:val="28"/>
        </w:rPr>
      </w:pPr>
    </w:p>
    <w:p w14:paraId="674F150F" w14:textId="77777777" w:rsidR="00BE6E81" w:rsidRPr="00931663" w:rsidRDefault="00BE6E81" w:rsidP="00BE6E81">
      <w:pPr>
        <w:rPr>
          <w:rFonts w:ascii="Sylfaen" w:hAnsi="Sylfaen"/>
          <w:sz w:val="28"/>
          <w:szCs w:val="28"/>
        </w:rPr>
      </w:pPr>
    </w:p>
    <w:p w14:paraId="3B9AEEC5" w14:textId="77777777" w:rsidR="00F946E7" w:rsidRDefault="00BE6E81" w:rsidP="00BE6E81">
      <w:pPr>
        <w:jc w:val="center"/>
        <w:rPr>
          <w:rFonts w:ascii="Sylfaen" w:hAnsi="Sylfaen"/>
          <w:bCs/>
          <w:sz w:val="32"/>
          <w:szCs w:val="32"/>
        </w:rPr>
      </w:pPr>
      <w:r w:rsidRPr="00931663">
        <w:rPr>
          <w:rFonts w:ascii="Sylfaen" w:hAnsi="Sylfaen"/>
          <w:bCs/>
          <w:sz w:val="32"/>
          <w:szCs w:val="32"/>
        </w:rPr>
        <w:t>FROM C</w:t>
      </w:r>
      <w:r w:rsidR="000A6E37">
        <w:rPr>
          <w:rFonts w:ascii="Sylfaen" w:hAnsi="Sylfaen"/>
          <w:bCs/>
          <w:sz w:val="32"/>
          <w:szCs w:val="32"/>
        </w:rPr>
        <w:t xml:space="preserve">OMMON </w:t>
      </w:r>
      <w:r w:rsidRPr="00931663">
        <w:rPr>
          <w:rFonts w:ascii="Sylfaen" w:hAnsi="Sylfaen"/>
          <w:bCs/>
          <w:sz w:val="32"/>
          <w:szCs w:val="32"/>
        </w:rPr>
        <w:t>U</w:t>
      </w:r>
      <w:r w:rsidR="000A6E37">
        <w:rPr>
          <w:rFonts w:ascii="Sylfaen" w:hAnsi="Sylfaen"/>
          <w:bCs/>
          <w:sz w:val="32"/>
          <w:szCs w:val="32"/>
        </w:rPr>
        <w:t xml:space="preserve">NDERSTANDING AND </w:t>
      </w:r>
      <w:r w:rsidRPr="00931663">
        <w:rPr>
          <w:rFonts w:ascii="Sylfaen" w:hAnsi="Sylfaen"/>
          <w:bCs/>
          <w:sz w:val="32"/>
          <w:szCs w:val="32"/>
        </w:rPr>
        <w:t>V</w:t>
      </w:r>
      <w:r w:rsidR="000A6E37">
        <w:rPr>
          <w:rFonts w:ascii="Sylfaen" w:hAnsi="Sylfaen"/>
          <w:bCs/>
          <w:sz w:val="32"/>
          <w:szCs w:val="32"/>
        </w:rPr>
        <w:t>ISION</w:t>
      </w:r>
      <w:r w:rsidRPr="00931663">
        <w:rPr>
          <w:rFonts w:ascii="Sylfaen" w:hAnsi="Sylfaen"/>
          <w:bCs/>
          <w:sz w:val="32"/>
          <w:szCs w:val="32"/>
        </w:rPr>
        <w:t xml:space="preserve"> </w:t>
      </w:r>
      <w:r w:rsidR="00F946E7">
        <w:rPr>
          <w:rFonts w:ascii="Sylfaen" w:hAnsi="Sylfaen"/>
          <w:bCs/>
          <w:sz w:val="32"/>
          <w:szCs w:val="32"/>
        </w:rPr>
        <w:t xml:space="preserve">OF THE WORLD COUNCIL OF CHURCHES </w:t>
      </w:r>
    </w:p>
    <w:p w14:paraId="5FE7D124" w14:textId="214DAAB7" w:rsidR="00BE6E81" w:rsidRPr="00931663" w:rsidRDefault="00BE6E81" w:rsidP="00BE6E81">
      <w:pPr>
        <w:jc w:val="center"/>
        <w:rPr>
          <w:rFonts w:ascii="Sylfaen" w:hAnsi="Sylfaen"/>
          <w:bCs/>
          <w:sz w:val="32"/>
          <w:szCs w:val="32"/>
        </w:rPr>
      </w:pPr>
      <w:r w:rsidRPr="00931663">
        <w:rPr>
          <w:rFonts w:ascii="Sylfaen" w:hAnsi="Sylfaen"/>
          <w:bCs/>
          <w:sz w:val="32"/>
          <w:szCs w:val="32"/>
        </w:rPr>
        <w:t>TO J</w:t>
      </w:r>
      <w:r w:rsidR="000A6E37">
        <w:rPr>
          <w:rFonts w:ascii="Sylfaen" w:hAnsi="Sylfaen"/>
          <w:bCs/>
          <w:sz w:val="32"/>
          <w:szCs w:val="32"/>
        </w:rPr>
        <w:t xml:space="preserve">OINT </w:t>
      </w:r>
      <w:r w:rsidRPr="00931663">
        <w:rPr>
          <w:rFonts w:ascii="Sylfaen" w:hAnsi="Sylfaen"/>
          <w:bCs/>
          <w:sz w:val="32"/>
          <w:szCs w:val="32"/>
        </w:rPr>
        <w:t>C</w:t>
      </w:r>
      <w:r w:rsidR="000A6E37">
        <w:rPr>
          <w:rFonts w:ascii="Sylfaen" w:hAnsi="Sylfaen"/>
          <w:bCs/>
          <w:sz w:val="32"/>
          <w:szCs w:val="32"/>
        </w:rPr>
        <w:t xml:space="preserve">ONSULTATIVE </w:t>
      </w:r>
      <w:r w:rsidRPr="00931663">
        <w:rPr>
          <w:rFonts w:ascii="Sylfaen" w:hAnsi="Sylfaen"/>
          <w:bCs/>
          <w:sz w:val="32"/>
          <w:szCs w:val="32"/>
        </w:rPr>
        <w:t>C</w:t>
      </w:r>
      <w:r w:rsidR="000A6E37">
        <w:rPr>
          <w:rFonts w:ascii="Sylfaen" w:hAnsi="Sylfaen"/>
          <w:bCs/>
          <w:sz w:val="32"/>
          <w:szCs w:val="32"/>
        </w:rPr>
        <w:t>OMMISSION</w:t>
      </w:r>
      <w:r w:rsidRPr="00931663">
        <w:rPr>
          <w:rFonts w:ascii="Sylfaen" w:hAnsi="Sylfaen"/>
          <w:bCs/>
          <w:sz w:val="32"/>
          <w:szCs w:val="32"/>
        </w:rPr>
        <w:t xml:space="preserve"> MANDATE</w:t>
      </w:r>
    </w:p>
    <w:p w14:paraId="5B4F331C" w14:textId="77777777" w:rsidR="00BE6E81" w:rsidRPr="00931663" w:rsidRDefault="00BE6E81" w:rsidP="00BE6E81">
      <w:pPr>
        <w:rPr>
          <w:rFonts w:ascii="Sylfaen" w:hAnsi="Sylfaen"/>
          <w:sz w:val="28"/>
          <w:szCs w:val="28"/>
        </w:rPr>
      </w:pPr>
    </w:p>
    <w:p w14:paraId="08689BA2" w14:textId="77777777" w:rsidR="00BE6E81" w:rsidRPr="00931663" w:rsidRDefault="00BE6E81" w:rsidP="00BE6E81">
      <w:pPr>
        <w:jc w:val="both"/>
        <w:rPr>
          <w:rFonts w:ascii="Sylfaen" w:hAnsi="Sylfaen"/>
          <w:b/>
          <w:bCs/>
          <w:sz w:val="28"/>
          <w:szCs w:val="28"/>
        </w:rPr>
      </w:pPr>
      <w:r w:rsidRPr="00931663">
        <w:rPr>
          <w:rFonts w:ascii="Sylfaen" w:hAnsi="Sylfaen"/>
          <w:b/>
          <w:bCs/>
          <w:sz w:val="28"/>
          <w:szCs w:val="28"/>
        </w:rPr>
        <w:t>(I) Introductory Affirmations for Guiding our Common Ecumenical Journey and Strengthening our Mutual Relationships</w:t>
      </w:r>
    </w:p>
    <w:p w14:paraId="30273CE4" w14:textId="434580C3" w:rsidR="00BE6E81" w:rsidRPr="00931663" w:rsidRDefault="00BE6E81" w:rsidP="00BE6E81">
      <w:pPr>
        <w:jc w:val="both"/>
        <w:rPr>
          <w:rFonts w:ascii="Sylfaen" w:hAnsi="Sylfaen"/>
          <w:sz w:val="28"/>
          <w:szCs w:val="28"/>
        </w:rPr>
      </w:pPr>
      <w:r w:rsidRPr="00931663">
        <w:rPr>
          <w:rFonts w:ascii="Sylfaen" w:hAnsi="Sylfaen"/>
          <w:sz w:val="28"/>
          <w:szCs w:val="28"/>
        </w:rPr>
        <w:t>1. The Christian World Communions are global bodies actively involved in the ecumenical movement as fellowships of churches in their own constituencies and also most of them in the fellowship of the World Council of Churches, through their member churches. The various nuanced assumptions of being ‘a fellowship of churches’ invites us to define our self-understanding as a confessional body, as a member church of the WCC and/or as a communion in rapprochement or cooperation with the WCC.</w:t>
      </w:r>
      <w:r w:rsidR="00F109D5">
        <w:rPr>
          <w:rStyle w:val="FootnoteReference"/>
          <w:rFonts w:ascii="Sylfaen" w:hAnsi="Sylfaen"/>
          <w:sz w:val="28"/>
          <w:szCs w:val="28"/>
        </w:rPr>
        <w:footnoteReference w:id="1"/>
      </w:r>
    </w:p>
    <w:p w14:paraId="6C57C2A7" w14:textId="77777777" w:rsidR="00BE6E81" w:rsidRPr="00931663" w:rsidRDefault="00BE6E81" w:rsidP="00BE6E81">
      <w:pPr>
        <w:jc w:val="both"/>
        <w:rPr>
          <w:rFonts w:ascii="Sylfaen" w:hAnsi="Sylfaen"/>
          <w:sz w:val="28"/>
          <w:szCs w:val="28"/>
        </w:rPr>
      </w:pPr>
    </w:p>
    <w:p w14:paraId="7DD379F9" w14:textId="77777777" w:rsidR="00BE6E81" w:rsidRPr="00931663" w:rsidRDefault="00BE6E81" w:rsidP="00BE6E81">
      <w:pPr>
        <w:jc w:val="both"/>
        <w:rPr>
          <w:rFonts w:ascii="Sylfaen" w:hAnsi="Sylfaen"/>
          <w:sz w:val="28"/>
          <w:szCs w:val="28"/>
        </w:rPr>
      </w:pPr>
      <w:r w:rsidRPr="00931663">
        <w:rPr>
          <w:rFonts w:ascii="Sylfaen" w:hAnsi="Sylfaen"/>
          <w:sz w:val="28"/>
          <w:szCs w:val="28"/>
        </w:rPr>
        <w:t>2. While we continue tackling decades-long regional/national versus denominational/confessional ecclesiological issues, at the same time we are called to treasure and support the WCC to carry on its responsibility to uphold the cohesion of the one ecumenical movement. Our affirmation of confessional identities should lead us to assess our role in the wider ecumenical movement, to explore our contribution to the renewal of the ecumenical movement in the 21</w:t>
      </w:r>
      <w:r w:rsidRPr="00931663">
        <w:rPr>
          <w:rFonts w:ascii="Sylfaen" w:hAnsi="Sylfaen"/>
          <w:sz w:val="28"/>
          <w:szCs w:val="28"/>
          <w:vertAlign w:val="superscript"/>
        </w:rPr>
        <w:t>st</w:t>
      </w:r>
      <w:r w:rsidRPr="00931663">
        <w:rPr>
          <w:rFonts w:ascii="Sylfaen" w:hAnsi="Sylfaen"/>
          <w:sz w:val="28"/>
          <w:szCs w:val="28"/>
        </w:rPr>
        <w:t xml:space="preserve"> century and to grow into responsible witness and service to the world as communions in fruitful partnership with each other and with the WCC. </w:t>
      </w:r>
    </w:p>
    <w:p w14:paraId="34FB48A8" w14:textId="77777777" w:rsidR="00BE6E81" w:rsidRPr="00931663" w:rsidRDefault="00BE6E81" w:rsidP="00BE6E81">
      <w:pPr>
        <w:jc w:val="both"/>
        <w:rPr>
          <w:rFonts w:ascii="Sylfaen" w:hAnsi="Sylfaen"/>
          <w:sz w:val="28"/>
          <w:szCs w:val="28"/>
        </w:rPr>
      </w:pPr>
    </w:p>
    <w:p w14:paraId="271F30F8" w14:textId="77777777" w:rsidR="00BE6E81" w:rsidRPr="00931663" w:rsidRDefault="00BE6E81" w:rsidP="00BE6E81">
      <w:pPr>
        <w:jc w:val="both"/>
        <w:rPr>
          <w:rFonts w:ascii="Sylfaen" w:hAnsi="Sylfaen"/>
          <w:sz w:val="28"/>
          <w:szCs w:val="28"/>
        </w:rPr>
      </w:pPr>
      <w:r w:rsidRPr="00931663">
        <w:rPr>
          <w:rFonts w:ascii="Sylfaen" w:hAnsi="Sylfaen"/>
          <w:sz w:val="28"/>
          <w:szCs w:val="28"/>
        </w:rPr>
        <w:lastRenderedPageBreak/>
        <w:t>3. We believe that our shared ecumenical vision is much wider and representationally more inclusive than any form of commonality (such as heritage, tradition, structure) sustaining us as churches, groupings of churches or councils of churches.</w:t>
      </w:r>
    </w:p>
    <w:p w14:paraId="72A66F0F" w14:textId="77777777" w:rsidR="00BE6E81" w:rsidRPr="00931663" w:rsidRDefault="00BE6E81" w:rsidP="00BE6E81">
      <w:pPr>
        <w:jc w:val="both"/>
        <w:rPr>
          <w:rFonts w:ascii="Sylfaen" w:hAnsi="Sylfaen"/>
          <w:sz w:val="28"/>
          <w:szCs w:val="28"/>
        </w:rPr>
      </w:pPr>
    </w:p>
    <w:p w14:paraId="75FF91E6" w14:textId="00EFB7B2" w:rsidR="00BE6E81" w:rsidRPr="00931663" w:rsidRDefault="00BE6E81" w:rsidP="00BE6E81">
      <w:pPr>
        <w:jc w:val="both"/>
        <w:rPr>
          <w:rFonts w:ascii="Sylfaen" w:hAnsi="Sylfaen"/>
          <w:sz w:val="28"/>
          <w:szCs w:val="28"/>
        </w:rPr>
      </w:pPr>
      <w:r w:rsidRPr="00931663">
        <w:rPr>
          <w:rFonts w:ascii="Sylfaen" w:hAnsi="Sylfaen"/>
          <w:sz w:val="28"/>
          <w:szCs w:val="28"/>
        </w:rPr>
        <w:t xml:space="preserve">4. Within the changing ecclesial landscape, while our common search for the full visible unity of the church remains our </w:t>
      </w:r>
      <w:r w:rsidRPr="00931663">
        <w:rPr>
          <w:rFonts w:ascii="Sylfaen" w:hAnsi="Sylfaen"/>
          <w:i/>
          <w:iCs/>
          <w:sz w:val="28"/>
          <w:szCs w:val="28"/>
        </w:rPr>
        <w:t>raison d’être</w:t>
      </w:r>
      <w:r w:rsidRPr="00931663">
        <w:rPr>
          <w:rFonts w:ascii="Sylfaen" w:hAnsi="Sylfaen"/>
          <w:sz w:val="28"/>
          <w:szCs w:val="28"/>
        </w:rPr>
        <w:t>, we have to look into new paradigms of inter-church and inter-WCC collaborations. This Joint Consultative Commission between the World Council of Churches and the Christian World Communions is mandated by the WCC 9</w:t>
      </w:r>
      <w:r w:rsidRPr="00931663">
        <w:rPr>
          <w:rFonts w:ascii="Sylfaen" w:hAnsi="Sylfaen"/>
          <w:sz w:val="28"/>
          <w:szCs w:val="28"/>
          <w:vertAlign w:val="superscript"/>
        </w:rPr>
        <w:t>th</w:t>
      </w:r>
      <w:r w:rsidRPr="00931663">
        <w:rPr>
          <w:rFonts w:ascii="Sylfaen" w:hAnsi="Sylfaen"/>
          <w:sz w:val="28"/>
          <w:szCs w:val="28"/>
        </w:rPr>
        <w:t xml:space="preserve"> Assembly (February 14</w:t>
      </w:r>
      <w:r w:rsidRPr="00931663">
        <w:rPr>
          <w:rFonts w:ascii="Sylfaen" w:hAnsi="Sylfaen" w:cs="Arial"/>
          <w:sz w:val="28"/>
          <w:szCs w:val="28"/>
        </w:rPr>
        <w:t>–</w:t>
      </w:r>
      <w:r w:rsidRPr="00931663">
        <w:rPr>
          <w:rFonts w:ascii="Sylfaen" w:hAnsi="Sylfaen"/>
          <w:sz w:val="28"/>
          <w:szCs w:val="28"/>
        </w:rPr>
        <w:t>23, 2006, Porto Alegre-Brazil) to enhance productive relationships, and to nourish and elaborate our shared vision and common goal of Christian unity, witness and service despite our complex diversities.</w:t>
      </w:r>
      <w:r w:rsidR="0006225F">
        <w:rPr>
          <w:rStyle w:val="FootnoteReference"/>
          <w:rFonts w:ascii="Sylfaen" w:hAnsi="Sylfaen"/>
          <w:sz w:val="28"/>
          <w:szCs w:val="28"/>
        </w:rPr>
        <w:footnoteReference w:id="2"/>
      </w:r>
    </w:p>
    <w:p w14:paraId="688D23B5" w14:textId="77777777" w:rsidR="00BE6E81" w:rsidRPr="00931663" w:rsidRDefault="00BE6E81" w:rsidP="00BE6E81">
      <w:pPr>
        <w:pStyle w:val="bodytext"/>
        <w:spacing w:after="0"/>
        <w:jc w:val="both"/>
        <w:textAlignment w:val="top"/>
        <w:rPr>
          <w:rFonts w:ascii="Sylfaen" w:hAnsi="Sylfaen" w:cs="Times New Roman"/>
          <w:sz w:val="28"/>
          <w:szCs w:val="28"/>
          <w:lang w:val="en"/>
        </w:rPr>
      </w:pPr>
      <w:r w:rsidRPr="00931663">
        <w:rPr>
          <w:rFonts w:ascii="Sylfaen" w:hAnsi="Sylfaen"/>
          <w:sz w:val="28"/>
          <w:szCs w:val="28"/>
          <w:lang w:val="en"/>
        </w:rPr>
        <w:t xml:space="preserve">  </w:t>
      </w:r>
    </w:p>
    <w:p w14:paraId="099FBA0A" w14:textId="77777777" w:rsidR="00BE6E81" w:rsidRPr="00931663" w:rsidRDefault="00BE6E81" w:rsidP="00BE6E81">
      <w:pPr>
        <w:numPr>
          <w:ilvl w:val="0"/>
          <w:numId w:val="1"/>
        </w:numPr>
        <w:jc w:val="both"/>
        <w:rPr>
          <w:rFonts w:ascii="Sylfaen" w:hAnsi="Sylfaen"/>
          <w:i/>
          <w:iCs/>
          <w:sz w:val="28"/>
          <w:szCs w:val="28"/>
        </w:rPr>
      </w:pPr>
      <w:r w:rsidRPr="00931663">
        <w:rPr>
          <w:rFonts w:ascii="Sylfaen" w:hAnsi="Sylfaen"/>
          <w:i/>
          <w:iCs/>
          <w:sz w:val="28"/>
          <w:szCs w:val="28"/>
        </w:rPr>
        <w:t xml:space="preserve">How is our pursuit for the full visible unity of the church concretely expressed in confessional and multi-lateral ecumenism, while our Lord Jesus Christ assembles us around him as pilgrim people of faith? </w:t>
      </w:r>
    </w:p>
    <w:p w14:paraId="4FB0B898" w14:textId="77777777" w:rsidR="00BE6E81" w:rsidRPr="00931663" w:rsidRDefault="00BE6E81" w:rsidP="00BE6E81">
      <w:pPr>
        <w:jc w:val="both"/>
        <w:rPr>
          <w:rFonts w:ascii="Sylfaen" w:hAnsi="Sylfaen"/>
          <w:sz w:val="28"/>
          <w:szCs w:val="28"/>
        </w:rPr>
      </w:pPr>
    </w:p>
    <w:p w14:paraId="49A68A71" w14:textId="0A433BE7" w:rsidR="00BE6E81" w:rsidRPr="00931663" w:rsidRDefault="00BE6E81" w:rsidP="00BE6E81">
      <w:pPr>
        <w:jc w:val="both"/>
        <w:rPr>
          <w:rFonts w:ascii="Sylfaen" w:hAnsi="Sylfaen"/>
          <w:b/>
          <w:bCs/>
          <w:sz w:val="28"/>
          <w:szCs w:val="28"/>
        </w:rPr>
      </w:pPr>
      <w:r w:rsidRPr="00931663">
        <w:rPr>
          <w:rFonts w:ascii="Sylfaen" w:hAnsi="Sylfaen"/>
          <w:b/>
          <w:bCs/>
          <w:sz w:val="28"/>
          <w:szCs w:val="28"/>
        </w:rPr>
        <w:t>(II) Towards a Common Understanding and Vision of the World Council of Churches (CUV)</w:t>
      </w:r>
      <w:r w:rsidR="00437FF3" w:rsidRPr="00437FF3">
        <w:rPr>
          <w:rStyle w:val="FootnoteReference"/>
          <w:rFonts w:ascii="Sylfaen" w:hAnsi="Sylfaen"/>
          <w:sz w:val="28"/>
          <w:szCs w:val="28"/>
        </w:rPr>
        <w:footnoteReference w:id="3"/>
      </w:r>
    </w:p>
    <w:p w14:paraId="1519E81F" w14:textId="77777777" w:rsidR="00BE6E81" w:rsidRPr="00931663" w:rsidRDefault="00BE6E81" w:rsidP="00BE6E81">
      <w:pPr>
        <w:jc w:val="both"/>
        <w:rPr>
          <w:rFonts w:ascii="Sylfaen" w:hAnsi="Sylfaen"/>
          <w:sz w:val="28"/>
          <w:szCs w:val="28"/>
        </w:rPr>
      </w:pPr>
      <w:r w:rsidRPr="00931663">
        <w:rPr>
          <w:rFonts w:ascii="Sylfaen" w:hAnsi="Sylfaen"/>
          <w:sz w:val="28"/>
          <w:szCs w:val="28"/>
        </w:rPr>
        <w:t>5. CUV recognizes that churches will live with their differences. In its preface, after spelling out its purpose, which is “… to articulate the nature and purpose of ecumenical fellowship within the WCC,” it acknowledges that “it is of the essence of the churches’ fellowship within the ecumenical movement that they continue to wrestle with these differences in a spirit of mutual understanding, commitment and accountability.”</w:t>
      </w:r>
    </w:p>
    <w:p w14:paraId="1DEAA34A" w14:textId="77777777" w:rsidR="00BE6E81" w:rsidRPr="00931663" w:rsidRDefault="00BE6E81" w:rsidP="00BE6E81">
      <w:pPr>
        <w:jc w:val="both"/>
        <w:rPr>
          <w:rFonts w:ascii="Sylfaen" w:hAnsi="Sylfaen"/>
          <w:sz w:val="28"/>
          <w:szCs w:val="28"/>
        </w:rPr>
      </w:pPr>
    </w:p>
    <w:p w14:paraId="4D86FFEF" w14:textId="706410D5" w:rsidR="00BE6E81" w:rsidRPr="00931663" w:rsidRDefault="00BE6E81" w:rsidP="00BE6E81">
      <w:pPr>
        <w:jc w:val="both"/>
        <w:rPr>
          <w:rFonts w:ascii="Sylfaen" w:hAnsi="Sylfaen"/>
          <w:bCs/>
          <w:sz w:val="28"/>
          <w:szCs w:val="28"/>
        </w:rPr>
      </w:pPr>
      <w:r w:rsidRPr="00931663">
        <w:rPr>
          <w:rFonts w:ascii="Sylfaen" w:hAnsi="Sylfaen"/>
          <w:sz w:val="28"/>
          <w:szCs w:val="28"/>
        </w:rPr>
        <w:lastRenderedPageBreak/>
        <w:t xml:space="preserve">6. In order not to limit itself to the ‘ecumenical fellowship’ and to ‘differences’ in mutual relationships within the WCC, CUV has dedicated an entire chapter (chapter 4) </w:t>
      </w:r>
      <w:r w:rsidRPr="00931663">
        <w:rPr>
          <w:rFonts w:ascii="Sylfaen" w:hAnsi="Sylfaen"/>
          <w:bCs/>
          <w:sz w:val="28"/>
          <w:szCs w:val="28"/>
        </w:rPr>
        <w:t>to the WCC’s “relationships with partners in the ecumenical movement, churches outside of WCC membership, and other bodies.”</w:t>
      </w:r>
      <w:r w:rsidR="00D82AFC">
        <w:rPr>
          <w:rStyle w:val="FootnoteReference"/>
          <w:rFonts w:ascii="Sylfaen" w:hAnsi="Sylfaen"/>
          <w:bCs/>
          <w:sz w:val="28"/>
          <w:szCs w:val="28"/>
        </w:rPr>
        <w:footnoteReference w:id="4"/>
      </w:r>
    </w:p>
    <w:p w14:paraId="4F155A8D" w14:textId="77777777" w:rsidR="00BE6E81" w:rsidRPr="00931663" w:rsidRDefault="00BE6E81" w:rsidP="00BE6E81">
      <w:pPr>
        <w:jc w:val="both"/>
        <w:rPr>
          <w:rFonts w:ascii="Sylfaen" w:hAnsi="Sylfaen"/>
          <w:bCs/>
          <w:sz w:val="28"/>
          <w:szCs w:val="28"/>
        </w:rPr>
      </w:pPr>
    </w:p>
    <w:p w14:paraId="013FAE31" w14:textId="77777777" w:rsidR="00BE6E81" w:rsidRPr="00931663" w:rsidRDefault="00BE6E81" w:rsidP="00BE6E81">
      <w:pPr>
        <w:pStyle w:val="NormalWeb"/>
        <w:spacing w:before="0" w:beforeAutospacing="0" w:after="0" w:afterAutospacing="0"/>
        <w:jc w:val="both"/>
        <w:rPr>
          <w:rFonts w:ascii="Sylfaen" w:hAnsi="Sylfaen"/>
          <w:sz w:val="28"/>
          <w:szCs w:val="28"/>
        </w:rPr>
      </w:pPr>
      <w:r w:rsidRPr="00931663">
        <w:rPr>
          <w:rFonts w:ascii="Sylfaen" w:hAnsi="Sylfaen"/>
          <w:bCs/>
          <w:sz w:val="28"/>
          <w:szCs w:val="28"/>
        </w:rPr>
        <w:t>7. Chapter 4 of CUV opens with a forthright statement defining ecumenism not merely as a human venture but “the work of the Holy Spirit” (4.1). This very divine calling invites us, the “</w:t>
      </w:r>
      <w:r w:rsidRPr="00931663">
        <w:rPr>
          <w:rFonts w:ascii="Sylfaen" w:hAnsi="Sylfaen"/>
          <w:sz w:val="28"/>
          <w:szCs w:val="28"/>
        </w:rPr>
        <w:t>WCC and regional, national and local councils (conferences) of churches or Christian councils (conferences),” to live and serve in dynamic relationships with each other, because we “share the same basic purpose” (4.2), we belong to “the one ecumenical movement” (4.4) and we should work “by a conciliar spirit of mutuality and cooperation, rather than competition and the demarcation of areas of influence.” (4.4) In this context of collaboration, WCC takes up its role as a coordinator and not as a “superior” actor. (4.4)</w:t>
      </w:r>
    </w:p>
    <w:p w14:paraId="030A2E8C" w14:textId="77777777" w:rsidR="00BE6E81" w:rsidRPr="00931663" w:rsidRDefault="00BE6E81" w:rsidP="00BE6E81">
      <w:pPr>
        <w:pStyle w:val="NormalWeb"/>
        <w:spacing w:before="0" w:beforeAutospacing="0" w:after="0" w:afterAutospacing="0"/>
        <w:jc w:val="both"/>
        <w:rPr>
          <w:rFonts w:ascii="Sylfaen" w:hAnsi="Sylfaen"/>
          <w:sz w:val="28"/>
          <w:szCs w:val="28"/>
        </w:rPr>
      </w:pPr>
    </w:p>
    <w:p w14:paraId="38A872CC" w14:textId="77777777" w:rsidR="00BE6E81" w:rsidRPr="00931663" w:rsidRDefault="00BE6E81" w:rsidP="00BE6E81">
      <w:pPr>
        <w:pStyle w:val="NormalWeb"/>
        <w:spacing w:before="0" w:beforeAutospacing="0" w:after="0" w:afterAutospacing="0"/>
        <w:jc w:val="both"/>
        <w:rPr>
          <w:rFonts w:ascii="Sylfaen" w:hAnsi="Sylfaen"/>
          <w:sz w:val="28"/>
          <w:szCs w:val="28"/>
        </w:rPr>
      </w:pPr>
      <w:r w:rsidRPr="00931663">
        <w:rPr>
          <w:rFonts w:ascii="Sylfaen" w:hAnsi="Sylfaen"/>
          <w:sz w:val="28"/>
          <w:szCs w:val="28"/>
        </w:rPr>
        <w:t xml:space="preserve">8. Under a separate heading (4.8), CUV mentions the Christian World Communions and spells out that the WCC’s relational expectations “should be marked by mutual accountability and reciprocity, and the Council should seek ways to share tasks and resources with these partners in the ecumenical movement. Such sharing is particularly important for those bodies which understand themselves as one worldwide communion of churches and of which most if not all members are also member churches of the WCC. Ways should be found to associate such bodies more directly with the organized life of the WCC. A strong relationship between the WCC and these bodies can be enriching for both, strengthening the sense of the latter that they are part of the worldwide fellowship of Christians and reminding the churches in the World Council that ecumenical commitment can be nourished by rootedness in an ecclesial tradition.” Here the emphasis is laid on sharing of resources to avoid duplication </w:t>
      </w:r>
      <w:r w:rsidRPr="00931663">
        <w:rPr>
          <w:rFonts w:ascii="Sylfaen" w:hAnsi="Sylfaen"/>
          <w:sz w:val="28"/>
          <w:szCs w:val="28"/>
        </w:rPr>
        <w:lastRenderedPageBreak/>
        <w:t>and to reinforce the partnership between the ecumenical actors without compromising their belonging to their own ecclesial tradition, and for most of them, belonging to the membership of the WCC.</w:t>
      </w:r>
    </w:p>
    <w:p w14:paraId="3148DB74" w14:textId="77777777" w:rsidR="00BE6E81" w:rsidRPr="00931663" w:rsidRDefault="00BE6E81" w:rsidP="00BE6E81">
      <w:pPr>
        <w:pStyle w:val="NormalWeb"/>
        <w:spacing w:before="0" w:beforeAutospacing="0" w:after="0" w:afterAutospacing="0"/>
        <w:jc w:val="both"/>
        <w:rPr>
          <w:rFonts w:ascii="Sylfaen" w:hAnsi="Sylfaen"/>
          <w:sz w:val="28"/>
          <w:szCs w:val="28"/>
        </w:rPr>
      </w:pPr>
    </w:p>
    <w:p w14:paraId="5317CC7A" w14:textId="77777777" w:rsidR="00BE6E81" w:rsidRPr="00931663" w:rsidRDefault="00BE6E81" w:rsidP="00BE6E81">
      <w:pPr>
        <w:jc w:val="both"/>
        <w:rPr>
          <w:rFonts w:ascii="Sylfaen" w:hAnsi="Sylfaen"/>
          <w:sz w:val="28"/>
          <w:szCs w:val="28"/>
        </w:rPr>
      </w:pPr>
      <w:r w:rsidRPr="00931663">
        <w:rPr>
          <w:rFonts w:ascii="Sylfaen" w:hAnsi="Sylfaen"/>
          <w:sz w:val="28"/>
          <w:szCs w:val="28"/>
        </w:rPr>
        <w:t>9. Sections 4.11 and 4.12 highlight the imperative of deepening and broadening the WCC fellowship and refer to the esteemed partnership of the Roman Catholic Church and the absence of some Evangelical and Pentecostal Churches.</w:t>
      </w:r>
    </w:p>
    <w:p w14:paraId="530C4E45" w14:textId="77777777" w:rsidR="00BE6E81" w:rsidRPr="00931663" w:rsidRDefault="00BE6E81" w:rsidP="00BE6E81">
      <w:pPr>
        <w:jc w:val="both"/>
        <w:rPr>
          <w:rFonts w:ascii="Sylfaen" w:hAnsi="Sylfaen"/>
          <w:sz w:val="28"/>
          <w:szCs w:val="28"/>
        </w:rPr>
      </w:pPr>
    </w:p>
    <w:p w14:paraId="1A2380C4" w14:textId="794C4950" w:rsidR="00BE6E81" w:rsidRPr="00931663" w:rsidRDefault="00BE6E81" w:rsidP="00BE6E81">
      <w:pPr>
        <w:jc w:val="both"/>
        <w:rPr>
          <w:rFonts w:ascii="Sylfaen" w:hAnsi="Sylfaen"/>
          <w:sz w:val="28"/>
          <w:szCs w:val="28"/>
        </w:rPr>
      </w:pPr>
      <w:r w:rsidRPr="00931663">
        <w:rPr>
          <w:rFonts w:ascii="Sylfaen" w:hAnsi="Sylfaen"/>
          <w:sz w:val="28"/>
          <w:szCs w:val="28"/>
        </w:rPr>
        <w:t xml:space="preserve">10. It was very apparent that through the CUV, the WCC invited its member churches and ecumenical partners to play a constructive role in shared responsibilities and mutual assistance for the betterment of the witness and service of the ecumenical movement to the world. Therefore, it was very normal that CUV provoked interaction between reflection and action, which led the WCC to embark on the creation of a </w:t>
      </w:r>
      <w:r w:rsidRPr="00931663">
        <w:rPr>
          <w:rFonts w:ascii="Sylfaen" w:hAnsi="Sylfaen"/>
          <w:i/>
          <w:sz w:val="28"/>
          <w:szCs w:val="28"/>
        </w:rPr>
        <w:t>Global Christian Forum</w:t>
      </w:r>
      <w:r w:rsidRPr="00931663">
        <w:rPr>
          <w:rFonts w:ascii="Sylfaen" w:hAnsi="Sylfaen"/>
          <w:sz w:val="28"/>
          <w:szCs w:val="28"/>
        </w:rPr>
        <w:t xml:space="preserve"> and the process of consultation of </w:t>
      </w:r>
      <w:r w:rsidRPr="00931663">
        <w:rPr>
          <w:rFonts w:ascii="Sylfaen" w:hAnsi="Sylfaen"/>
          <w:i/>
          <w:sz w:val="28"/>
          <w:szCs w:val="28"/>
        </w:rPr>
        <w:t>Ecumenism in the 21</w:t>
      </w:r>
      <w:r w:rsidRPr="00931663">
        <w:rPr>
          <w:rFonts w:ascii="Sylfaen" w:hAnsi="Sylfaen"/>
          <w:i/>
          <w:sz w:val="28"/>
          <w:szCs w:val="28"/>
          <w:vertAlign w:val="superscript"/>
        </w:rPr>
        <w:t>st</w:t>
      </w:r>
      <w:r w:rsidRPr="00931663">
        <w:rPr>
          <w:rFonts w:ascii="Sylfaen" w:hAnsi="Sylfaen"/>
          <w:i/>
          <w:sz w:val="28"/>
          <w:szCs w:val="28"/>
        </w:rPr>
        <w:t xml:space="preserve"> Century</w:t>
      </w:r>
      <w:r w:rsidRPr="00931663">
        <w:rPr>
          <w:rFonts w:ascii="Sylfaen" w:hAnsi="Sylfaen"/>
          <w:sz w:val="28"/>
          <w:szCs w:val="28"/>
        </w:rPr>
        <w:t>. This was an effort to extend the specific self-assessment of the WCC to the ecumenical movement in general. From CUV to Porto Alegre was marked by growing commitment and intense deliberations on deepening and expanding the scope of ecumenism with the participation of existing and new ecumenical partners.</w:t>
      </w:r>
      <w:r w:rsidR="00C467C7">
        <w:rPr>
          <w:rStyle w:val="FootnoteReference"/>
          <w:rFonts w:ascii="Sylfaen" w:hAnsi="Sylfaen"/>
          <w:sz w:val="28"/>
          <w:szCs w:val="28"/>
        </w:rPr>
        <w:footnoteReference w:id="5"/>
      </w:r>
    </w:p>
    <w:p w14:paraId="5F0F8E8E" w14:textId="77777777" w:rsidR="00BE6E81" w:rsidRPr="00931663" w:rsidRDefault="00BE6E81" w:rsidP="00BE6E81">
      <w:pPr>
        <w:jc w:val="both"/>
        <w:rPr>
          <w:rFonts w:ascii="Sylfaen" w:hAnsi="Sylfaen"/>
          <w:sz w:val="28"/>
          <w:szCs w:val="28"/>
        </w:rPr>
      </w:pPr>
    </w:p>
    <w:p w14:paraId="72DCD5FE" w14:textId="77777777" w:rsidR="00BE6E81" w:rsidRPr="00931663" w:rsidRDefault="00BE6E81" w:rsidP="00BE6E81">
      <w:pPr>
        <w:numPr>
          <w:ilvl w:val="0"/>
          <w:numId w:val="2"/>
        </w:numPr>
        <w:jc w:val="both"/>
        <w:rPr>
          <w:rFonts w:ascii="Sylfaen" w:hAnsi="Sylfaen"/>
          <w:sz w:val="28"/>
          <w:szCs w:val="28"/>
        </w:rPr>
      </w:pPr>
      <w:r w:rsidRPr="00931663">
        <w:rPr>
          <w:rFonts w:ascii="Sylfaen" w:hAnsi="Sylfaen"/>
          <w:i/>
          <w:iCs/>
          <w:sz w:val="28"/>
          <w:szCs w:val="28"/>
        </w:rPr>
        <w:t>Has the CUV fulfilled the expectations of the Christian World Communions in their relationship with the World Council of Churches?</w:t>
      </w:r>
    </w:p>
    <w:p w14:paraId="56ADD414" w14:textId="77777777" w:rsidR="00587D63" w:rsidRPr="00587D63" w:rsidRDefault="00587D63" w:rsidP="00BE6E81">
      <w:pPr>
        <w:jc w:val="both"/>
        <w:rPr>
          <w:rFonts w:ascii="Sylfaen" w:hAnsi="Sylfaen"/>
          <w:sz w:val="28"/>
          <w:szCs w:val="28"/>
        </w:rPr>
      </w:pPr>
    </w:p>
    <w:p w14:paraId="1D0A6D82" w14:textId="12515EC8" w:rsidR="00BE6E81" w:rsidRPr="00931663" w:rsidRDefault="00BE6E81" w:rsidP="00BE6E81">
      <w:pPr>
        <w:jc w:val="both"/>
        <w:rPr>
          <w:rFonts w:ascii="Sylfaen" w:hAnsi="Sylfaen"/>
          <w:b/>
          <w:bCs/>
          <w:sz w:val="28"/>
          <w:szCs w:val="28"/>
        </w:rPr>
      </w:pPr>
      <w:r w:rsidRPr="00931663">
        <w:rPr>
          <w:rFonts w:ascii="Sylfaen" w:hAnsi="Sylfaen"/>
          <w:b/>
          <w:bCs/>
          <w:sz w:val="28"/>
          <w:szCs w:val="28"/>
        </w:rPr>
        <w:t>(III) Joint Consultative Commission between the World Council of Churches and the Christian World Communions – a Facilitator, a Link and a Platform for Genuine Partnership and Closer Collaboration</w:t>
      </w:r>
    </w:p>
    <w:p w14:paraId="3417CDD9" w14:textId="4AD4A124" w:rsidR="00BE6E81" w:rsidRPr="00931663" w:rsidRDefault="00BE6E81" w:rsidP="00BE6E81">
      <w:pPr>
        <w:jc w:val="both"/>
        <w:rPr>
          <w:rFonts w:ascii="Sylfaen" w:hAnsi="Sylfaen"/>
          <w:sz w:val="28"/>
          <w:szCs w:val="28"/>
        </w:rPr>
      </w:pPr>
      <w:r w:rsidRPr="00931663">
        <w:rPr>
          <w:rFonts w:ascii="Sylfaen" w:hAnsi="Sylfaen"/>
          <w:sz w:val="28"/>
          <w:szCs w:val="28"/>
        </w:rPr>
        <w:t>11. In view of being relevant and efficient in a rapidly changing world, the WCC’s 9</w:t>
      </w:r>
      <w:r w:rsidRPr="00931663">
        <w:rPr>
          <w:rFonts w:ascii="Sylfaen" w:hAnsi="Sylfaen"/>
          <w:sz w:val="28"/>
          <w:szCs w:val="28"/>
          <w:vertAlign w:val="superscript"/>
        </w:rPr>
        <w:t>th</w:t>
      </w:r>
      <w:r w:rsidRPr="00931663">
        <w:rPr>
          <w:rFonts w:ascii="Sylfaen" w:hAnsi="Sylfaen"/>
          <w:sz w:val="28"/>
          <w:szCs w:val="28"/>
        </w:rPr>
        <w:t xml:space="preserve"> Assembly dealt extensively with the altering ecclesial and ecumenical realities, taking up as one of its priorities the “strengthening and deepening [of] relationships among the member churches, with ecumenical partners, and with other Christian churches,”</w:t>
      </w:r>
      <w:r w:rsidR="00C467C7">
        <w:rPr>
          <w:rStyle w:val="FootnoteReference"/>
          <w:rFonts w:ascii="Sylfaen" w:hAnsi="Sylfaen"/>
          <w:sz w:val="28"/>
          <w:szCs w:val="28"/>
        </w:rPr>
        <w:footnoteReference w:id="6"/>
      </w:r>
      <w:r w:rsidRPr="00931663">
        <w:rPr>
          <w:rFonts w:ascii="Sylfaen" w:hAnsi="Sylfaen"/>
        </w:rPr>
        <w:t xml:space="preserve"> </w:t>
      </w:r>
      <w:r w:rsidRPr="00931663">
        <w:rPr>
          <w:rFonts w:ascii="Sylfaen" w:hAnsi="Sylfaen"/>
          <w:sz w:val="28"/>
          <w:szCs w:val="28"/>
        </w:rPr>
        <w:t>and made a clear reference to the applicability of the CUV, by stating that:</w:t>
      </w:r>
      <w:r w:rsidRPr="00931663">
        <w:rPr>
          <w:rFonts w:ascii="Sylfaen" w:hAnsi="Sylfaen"/>
          <w:sz w:val="28"/>
          <w:szCs w:val="28"/>
          <w:lang w:bidi="he-IL"/>
        </w:rPr>
        <w:t xml:space="preserve"> “The Common Understanding and Vision document (CUV) </w:t>
      </w:r>
      <w:r w:rsidRPr="00931663">
        <w:rPr>
          <w:rFonts w:ascii="Sylfaen" w:hAnsi="Sylfaen"/>
          <w:sz w:val="28"/>
          <w:szCs w:val="28"/>
          <w:lang w:bidi="he-IL"/>
        </w:rPr>
        <w:lastRenderedPageBreak/>
        <w:t>serves as a foundational statement of the nature of the fellowship among the member churches of the WCC and as the churches relate to other ecumenical partners”</w:t>
      </w:r>
      <w:r w:rsidR="00C467C7">
        <w:rPr>
          <w:rStyle w:val="FootnoteReference"/>
          <w:rFonts w:ascii="Sylfaen" w:hAnsi="Sylfaen"/>
          <w:sz w:val="28"/>
          <w:szCs w:val="28"/>
          <w:lang w:bidi="he-IL"/>
        </w:rPr>
        <w:footnoteReference w:id="7"/>
      </w:r>
      <w:r w:rsidRPr="00931663">
        <w:rPr>
          <w:rFonts w:ascii="Sylfaen" w:hAnsi="Sylfaen"/>
        </w:rPr>
        <w:t xml:space="preserve"> </w:t>
      </w:r>
      <w:r w:rsidRPr="00931663">
        <w:rPr>
          <w:rFonts w:ascii="Sylfaen" w:hAnsi="Sylfaen"/>
          <w:sz w:val="28"/>
          <w:szCs w:val="28"/>
          <w:lang w:bidi="he-IL"/>
        </w:rPr>
        <w:t>and “</w:t>
      </w:r>
      <w:r w:rsidRPr="00931663">
        <w:rPr>
          <w:rFonts w:ascii="Sylfaen" w:hAnsi="Sylfaen"/>
          <w:sz w:val="28"/>
          <w:szCs w:val="28"/>
        </w:rPr>
        <w:t>the importance of strengthening this relationship is articulated in the Common Understanding and Vision document and affirmed by the Harare Assembly.”</w:t>
      </w:r>
      <w:r w:rsidR="00E06DEB">
        <w:rPr>
          <w:rStyle w:val="FootnoteReference"/>
          <w:rFonts w:ascii="Sylfaen" w:hAnsi="Sylfaen"/>
          <w:sz w:val="28"/>
          <w:szCs w:val="28"/>
        </w:rPr>
        <w:footnoteReference w:id="8"/>
      </w:r>
    </w:p>
    <w:p w14:paraId="1040CB76" w14:textId="77777777" w:rsidR="00BE6E81" w:rsidRPr="00931663" w:rsidRDefault="00BE6E81" w:rsidP="00BE6E81">
      <w:pPr>
        <w:jc w:val="both"/>
        <w:rPr>
          <w:rFonts w:ascii="Sylfaen" w:hAnsi="Sylfaen"/>
          <w:sz w:val="28"/>
          <w:szCs w:val="28"/>
        </w:rPr>
      </w:pPr>
    </w:p>
    <w:p w14:paraId="20CA283D" w14:textId="4E5DD72D" w:rsidR="00BE6E81" w:rsidRPr="00931663" w:rsidRDefault="00BE6E81" w:rsidP="00BE6E81">
      <w:pPr>
        <w:jc w:val="both"/>
        <w:rPr>
          <w:rFonts w:ascii="Sylfaen" w:hAnsi="Sylfaen"/>
          <w:sz w:val="28"/>
          <w:szCs w:val="28"/>
        </w:rPr>
      </w:pPr>
      <w:r w:rsidRPr="00931663">
        <w:rPr>
          <w:rFonts w:ascii="Sylfaen" w:hAnsi="Sylfaen"/>
          <w:sz w:val="28"/>
          <w:szCs w:val="28"/>
        </w:rPr>
        <w:t>12. In light of the overall agenda of the 9</w:t>
      </w:r>
      <w:r w:rsidRPr="00931663">
        <w:rPr>
          <w:rFonts w:ascii="Sylfaen" w:hAnsi="Sylfaen"/>
          <w:sz w:val="28"/>
          <w:szCs w:val="28"/>
          <w:vertAlign w:val="superscript"/>
        </w:rPr>
        <w:t>th</w:t>
      </w:r>
      <w:r w:rsidRPr="00931663">
        <w:rPr>
          <w:rFonts w:ascii="Sylfaen" w:hAnsi="Sylfaen"/>
          <w:sz w:val="28"/>
          <w:szCs w:val="28"/>
        </w:rPr>
        <w:t xml:space="preserve"> Assembly and particularly in response to the Moderator’s and General Secretary’s reports, the Policy Reference Committee recommended “that the Ninth Assembly set as its goal that we will have made substantial progress towards realizing these hopes and dreams by the Tenth Assembly. Witness to the world of the progress made toward visible unity can include agreement among all of the Christian churches for calculation of the annual date for celebration of the feast of the Resurrection of Our Lord, for mutual recognition by all churches of one Baptism, understanding that there are some who do not observe the rite of Baptism in water but share in the desire to be faithful to Christ, and for convening an ecumenical assembly that would assemble all churches to celebrate their fellowship in Jesus Christ and to address common challenges facing the church and humanity – all on the way toward visible unity and a shared Eucharist.”</w:t>
      </w:r>
      <w:r w:rsidR="00AD4C38">
        <w:rPr>
          <w:rStyle w:val="FootnoteReference"/>
          <w:rFonts w:ascii="Sylfaen" w:hAnsi="Sylfaen"/>
          <w:sz w:val="28"/>
          <w:szCs w:val="28"/>
        </w:rPr>
        <w:footnoteReference w:id="9"/>
      </w:r>
      <w:r w:rsidRPr="00931663">
        <w:rPr>
          <w:rFonts w:ascii="Sylfaen" w:hAnsi="Sylfaen"/>
          <w:sz w:val="28"/>
          <w:szCs w:val="28"/>
        </w:rPr>
        <w:t xml:space="preserve">  </w:t>
      </w:r>
    </w:p>
    <w:p w14:paraId="067672BF" w14:textId="77777777" w:rsidR="00BE6E81" w:rsidRPr="00931663" w:rsidRDefault="00BE6E81" w:rsidP="00BE6E81">
      <w:pPr>
        <w:jc w:val="both"/>
        <w:rPr>
          <w:rFonts w:ascii="Sylfaen" w:hAnsi="Sylfaen"/>
          <w:sz w:val="28"/>
          <w:szCs w:val="28"/>
        </w:rPr>
      </w:pPr>
    </w:p>
    <w:p w14:paraId="091CC0EA" w14:textId="77777777" w:rsidR="00BE6E81" w:rsidRPr="00931663" w:rsidRDefault="00BE6E81" w:rsidP="00BE6E81">
      <w:pPr>
        <w:jc w:val="both"/>
        <w:rPr>
          <w:rFonts w:ascii="Sylfaen" w:hAnsi="Sylfaen"/>
          <w:sz w:val="28"/>
          <w:szCs w:val="28"/>
        </w:rPr>
      </w:pPr>
      <w:r w:rsidRPr="00931663">
        <w:rPr>
          <w:rFonts w:ascii="Sylfaen" w:hAnsi="Sylfaen"/>
          <w:sz w:val="28"/>
          <w:szCs w:val="28"/>
        </w:rPr>
        <w:t>13. I would like now to begin unpacking the mandate of the Joint Consultative Commission between the World Council of Churches and the Christian World Communions by underlining three points in the spirit of the above-mentioned recommendation and incorporating it with the WCC 9</w:t>
      </w:r>
      <w:r w:rsidRPr="00931663">
        <w:rPr>
          <w:rFonts w:ascii="Sylfaen" w:hAnsi="Sylfaen"/>
          <w:sz w:val="28"/>
          <w:szCs w:val="28"/>
          <w:vertAlign w:val="superscript"/>
        </w:rPr>
        <w:t>th</w:t>
      </w:r>
      <w:r w:rsidRPr="00931663">
        <w:rPr>
          <w:rFonts w:ascii="Sylfaen" w:hAnsi="Sylfaen"/>
          <w:sz w:val="28"/>
          <w:szCs w:val="28"/>
        </w:rPr>
        <w:t xml:space="preserve"> Assembly Programme Guidelines Committee Report. Why this Joint Consultative Commission? I avoid specifying the process of the establishment and membership of the JCC, because it is provided to us in the documents distributed for this meeting, entitled </w:t>
      </w:r>
      <w:r w:rsidRPr="00931663">
        <w:rPr>
          <w:rFonts w:ascii="Sylfaen" w:hAnsi="Sylfaen"/>
          <w:i/>
          <w:iCs/>
          <w:sz w:val="28"/>
          <w:szCs w:val="28"/>
        </w:rPr>
        <w:t>Mandate of the Joint Consultative Commission between the WCC and CWCs</w:t>
      </w:r>
      <w:r w:rsidRPr="00931663">
        <w:rPr>
          <w:rFonts w:ascii="Sylfaen" w:hAnsi="Sylfaen"/>
          <w:sz w:val="28"/>
          <w:szCs w:val="28"/>
        </w:rPr>
        <w:t xml:space="preserve">. </w:t>
      </w:r>
    </w:p>
    <w:p w14:paraId="2F2174FA" w14:textId="77777777" w:rsidR="00BE6E81" w:rsidRPr="00931663" w:rsidRDefault="00BE6E81" w:rsidP="00BE6E81">
      <w:pPr>
        <w:jc w:val="both"/>
        <w:rPr>
          <w:rFonts w:ascii="Sylfaen" w:hAnsi="Sylfaen"/>
          <w:sz w:val="28"/>
          <w:szCs w:val="28"/>
        </w:rPr>
      </w:pPr>
    </w:p>
    <w:p w14:paraId="3191557E" w14:textId="10751C41" w:rsidR="00BE6E81" w:rsidRPr="00931663" w:rsidRDefault="00BE6E81" w:rsidP="00BE6E81">
      <w:pPr>
        <w:jc w:val="both"/>
        <w:rPr>
          <w:rFonts w:ascii="Sylfaen" w:hAnsi="Sylfaen"/>
          <w:sz w:val="28"/>
          <w:szCs w:val="28"/>
        </w:rPr>
      </w:pPr>
      <w:r w:rsidRPr="00931663">
        <w:rPr>
          <w:rFonts w:ascii="Sylfaen" w:hAnsi="Sylfaen"/>
          <w:sz w:val="28"/>
          <w:szCs w:val="28"/>
        </w:rPr>
        <w:t xml:space="preserve">14. First, unity, spirituality and mission are sustained by the power of the Holy Spirit and go together. Despite our theological, ecclesiological, moral, ethical and pastoral diversities, which undoubtedly need more discussion and clarification, </w:t>
      </w:r>
      <w:r w:rsidRPr="00931663">
        <w:rPr>
          <w:rFonts w:ascii="Sylfaen" w:hAnsi="Sylfaen"/>
          <w:sz w:val="28"/>
          <w:szCs w:val="28"/>
        </w:rPr>
        <w:lastRenderedPageBreak/>
        <w:t>our witness and service are inter-related. Although sometimes we cannot speak with one voice because of our differences, we can work together. This necessity is amply underlined in Porto Alegre by affirming: “The need of the WCC and its member churches to focus upon the nature of Christian spirituality and the work of the Holy Spirit in the church and the world has become more urgent and obvious, both for the integrity of our work for visible unity and in our mission to the world”.</w:t>
      </w:r>
      <w:r w:rsidR="00AD4C38">
        <w:rPr>
          <w:rStyle w:val="FootnoteReference"/>
          <w:rFonts w:ascii="Sylfaen" w:hAnsi="Sylfaen"/>
          <w:sz w:val="28"/>
          <w:szCs w:val="28"/>
        </w:rPr>
        <w:footnoteReference w:id="10"/>
      </w:r>
      <w:r w:rsidRPr="00931663">
        <w:rPr>
          <w:rFonts w:ascii="Sylfaen" w:hAnsi="Sylfaen"/>
          <w:sz w:val="28"/>
          <w:szCs w:val="28"/>
        </w:rPr>
        <w:t xml:space="preserve"> “</w:t>
      </w:r>
      <w:r w:rsidRPr="00931663">
        <w:rPr>
          <w:rFonts w:ascii="Sylfaen" w:hAnsi="Sylfaen"/>
          <w:sz w:val="28"/>
          <w:szCs w:val="28"/>
          <w:lang w:bidi="he-IL"/>
        </w:rPr>
        <w:t>The WCC is strengthened by interaction with the Christian World Communions. Its spirituality, witness, and work are enhanced by cooperative efforts with Christian World Communions towards building Christian unity. Multi-lateral and bi-lateral dialogues have contributed to a number of agreements and have enhanced understanding and cooperation among churches. Cooperative efforts in areas of witness, mission, diakonia and ecu</w:t>
      </w:r>
      <w:r w:rsidRPr="00931663">
        <w:rPr>
          <w:rFonts w:ascii="Sylfaen" w:hAnsi="Sylfaen"/>
          <w:sz w:val="28"/>
          <w:szCs w:val="28"/>
          <w:lang w:bidi="he-IL"/>
        </w:rPr>
        <w:softHyphen/>
        <w:t>menical formation are integral to the life of the WCC.”</w:t>
      </w:r>
      <w:r w:rsidR="00AD4C38">
        <w:rPr>
          <w:rStyle w:val="FootnoteReference"/>
          <w:rFonts w:ascii="Sylfaen" w:hAnsi="Sylfaen"/>
          <w:sz w:val="28"/>
          <w:szCs w:val="28"/>
          <w:lang w:bidi="he-IL"/>
        </w:rPr>
        <w:footnoteReference w:id="11"/>
      </w:r>
    </w:p>
    <w:p w14:paraId="2F897EDE" w14:textId="77777777" w:rsidR="00BE6E81" w:rsidRPr="00931663" w:rsidRDefault="00BE6E81" w:rsidP="00BE6E81">
      <w:pPr>
        <w:rPr>
          <w:rFonts w:ascii="Sylfaen" w:hAnsi="Sylfaen"/>
          <w:sz w:val="28"/>
          <w:szCs w:val="28"/>
        </w:rPr>
      </w:pPr>
    </w:p>
    <w:p w14:paraId="48D4D80D" w14:textId="03A529AB" w:rsidR="00BE6E81" w:rsidRPr="00931663" w:rsidRDefault="00BE6E81" w:rsidP="00BE6E81">
      <w:pPr>
        <w:numPr>
          <w:ilvl w:val="0"/>
          <w:numId w:val="2"/>
        </w:numPr>
        <w:jc w:val="both"/>
        <w:rPr>
          <w:rFonts w:ascii="Sylfaen" w:hAnsi="Sylfaen"/>
          <w:i/>
          <w:iCs/>
          <w:sz w:val="28"/>
          <w:szCs w:val="28"/>
        </w:rPr>
      </w:pPr>
      <w:r w:rsidRPr="00931663">
        <w:rPr>
          <w:rFonts w:ascii="Sylfaen" w:hAnsi="Sylfaen"/>
          <w:i/>
          <w:iCs/>
          <w:sz w:val="28"/>
          <w:szCs w:val="28"/>
        </w:rPr>
        <w:t>In seeking the full visible unity of the church and enhanced by spiritual ecumenism, are we ready to respond positively to the invitation of the Faith and Order Commission to unify our efforts and join together our resources in mission. “Mission is integral to the life of the church. The church in its mission expresses its calling to proclaim the Gospel and to offer the living Christ to the whole creation”?</w:t>
      </w:r>
      <w:r w:rsidR="006D437C" w:rsidRPr="006D437C">
        <w:rPr>
          <w:rStyle w:val="FootnoteReference"/>
          <w:rFonts w:ascii="Sylfaen" w:hAnsi="Sylfaen"/>
          <w:sz w:val="28"/>
          <w:szCs w:val="28"/>
        </w:rPr>
        <w:footnoteReference w:id="12"/>
      </w:r>
    </w:p>
    <w:p w14:paraId="2871368D" w14:textId="77777777" w:rsidR="00BE6E81" w:rsidRPr="00931663" w:rsidRDefault="00BE6E81" w:rsidP="00BE6E81">
      <w:pPr>
        <w:jc w:val="both"/>
        <w:rPr>
          <w:rFonts w:ascii="Sylfaen" w:hAnsi="Sylfaen"/>
          <w:sz w:val="28"/>
          <w:szCs w:val="28"/>
        </w:rPr>
      </w:pPr>
    </w:p>
    <w:p w14:paraId="1A46922C" w14:textId="0227DEDD" w:rsidR="00BE6E81" w:rsidRPr="00931663" w:rsidRDefault="00BE6E81" w:rsidP="00BE6E81">
      <w:pPr>
        <w:jc w:val="both"/>
        <w:rPr>
          <w:rFonts w:ascii="Sylfaen" w:hAnsi="Sylfaen"/>
          <w:sz w:val="28"/>
          <w:szCs w:val="28"/>
        </w:rPr>
      </w:pPr>
      <w:r w:rsidRPr="00931663">
        <w:rPr>
          <w:rFonts w:ascii="Sylfaen" w:hAnsi="Sylfaen"/>
          <w:sz w:val="28"/>
          <w:szCs w:val="28"/>
        </w:rPr>
        <w:t xml:space="preserve">15. Second, </w:t>
      </w:r>
      <w:r w:rsidRPr="00931663">
        <w:rPr>
          <w:rFonts w:ascii="Sylfaen" w:hAnsi="Sylfaen"/>
          <w:sz w:val="28"/>
          <w:szCs w:val="28"/>
          <w:lang w:bidi="he-IL"/>
        </w:rPr>
        <w:t xml:space="preserve">constructive collaboration within the ecumenical movement depends on trustworthy mutual relationships translated into concrete actions through </w:t>
      </w:r>
      <w:r w:rsidRPr="00931663">
        <w:rPr>
          <w:rFonts w:ascii="Sylfaen" w:hAnsi="Sylfaen"/>
          <w:sz w:val="28"/>
          <w:szCs w:val="28"/>
        </w:rPr>
        <w:t>programmatic cooperation and by addressing seriously overlap of membership and the consumption of excessive human and financial resources</w:t>
      </w:r>
      <w:r w:rsidRPr="00931663">
        <w:rPr>
          <w:rFonts w:ascii="Sylfaen" w:hAnsi="Sylfaen"/>
          <w:sz w:val="28"/>
          <w:szCs w:val="28"/>
          <w:lang w:bidi="he-IL"/>
        </w:rPr>
        <w:t xml:space="preserve">. The </w:t>
      </w:r>
      <w:r w:rsidRPr="00931663">
        <w:rPr>
          <w:rFonts w:ascii="Sylfaen" w:hAnsi="Sylfaen"/>
          <w:sz w:val="28"/>
          <w:szCs w:val="28"/>
        </w:rPr>
        <w:t>Programme Guidelines Committee in its ‘</w:t>
      </w:r>
      <w:r w:rsidRPr="00931663">
        <w:rPr>
          <w:rFonts w:ascii="Sylfaen" w:hAnsi="Sylfaen"/>
          <w:bCs/>
          <w:sz w:val="28"/>
          <w:szCs w:val="28"/>
        </w:rPr>
        <w:t xml:space="preserve">Guiding Principles and Methodological Recommendations’ </w:t>
      </w:r>
      <w:r w:rsidRPr="00931663">
        <w:rPr>
          <w:rFonts w:ascii="Sylfaen" w:hAnsi="Sylfaen"/>
          <w:sz w:val="28"/>
          <w:szCs w:val="28"/>
        </w:rPr>
        <w:t>specifies the following</w:t>
      </w:r>
      <w:r w:rsidRPr="00931663">
        <w:rPr>
          <w:rFonts w:ascii="Sylfaen" w:hAnsi="Sylfaen"/>
          <w:bCs/>
          <w:sz w:val="28"/>
          <w:szCs w:val="28"/>
        </w:rPr>
        <w:t>: “F</w:t>
      </w:r>
      <w:r w:rsidRPr="00931663">
        <w:rPr>
          <w:rFonts w:ascii="Sylfaen" w:hAnsi="Sylfaen"/>
          <w:sz w:val="28"/>
          <w:szCs w:val="28"/>
        </w:rPr>
        <w:t xml:space="preserve">acilitating the coordination role of the WCC in seeking partnerships in networking and advocacy with other ecumenical organizations, including Christian World Communions, REOs, NCCs, Specialized Ministries, faith-based organizations, and NGOs (as appropriate) – with the hope that many of these programmes can </w:t>
      </w:r>
      <w:r w:rsidRPr="00931663">
        <w:rPr>
          <w:rFonts w:ascii="Sylfaen" w:hAnsi="Sylfaen"/>
          <w:sz w:val="28"/>
          <w:szCs w:val="28"/>
        </w:rPr>
        <w:lastRenderedPageBreak/>
        <w:t>be implemented in collaborative ways of working.”</w:t>
      </w:r>
      <w:r w:rsidR="00252254">
        <w:rPr>
          <w:rStyle w:val="FootnoteReference"/>
          <w:rFonts w:ascii="Sylfaen" w:hAnsi="Sylfaen"/>
          <w:sz w:val="28"/>
          <w:szCs w:val="28"/>
        </w:rPr>
        <w:footnoteReference w:id="13"/>
      </w:r>
      <w:r w:rsidRPr="00931663">
        <w:rPr>
          <w:rFonts w:ascii="Sylfaen" w:hAnsi="Sylfaen"/>
        </w:rPr>
        <w:t xml:space="preserve"> </w:t>
      </w:r>
      <w:r w:rsidRPr="00931663">
        <w:rPr>
          <w:rFonts w:ascii="Sylfaen" w:hAnsi="Sylfaen"/>
          <w:sz w:val="28"/>
          <w:szCs w:val="28"/>
        </w:rPr>
        <w:t xml:space="preserve">This afternoon, during session IV we will explore the common achievements and the potential for programmatic cooperation between CWCs and with the WCC. </w:t>
      </w:r>
    </w:p>
    <w:p w14:paraId="20625862" w14:textId="77777777" w:rsidR="00BE6E81" w:rsidRPr="00931663" w:rsidRDefault="00BE6E81" w:rsidP="00BE6E81">
      <w:pPr>
        <w:jc w:val="both"/>
        <w:rPr>
          <w:rFonts w:ascii="Sylfaen" w:hAnsi="Sylfaen"/>
          <w:bCs/>
          <w:sz w:val="28"/>
          <w:szCs w:val="28"/>
        </w:rPr>
      </w:pPr>
    </w:p>
    <w:p w14:paraId="77E57C7E" w14:textId="77777777" w:rsidR="00BE6E81" w:rsidRPr="00931663" w:rsidRDefault="00BE6E81" w:rsidP="00BE6E81">
      <w:pPr>
        <w:numPr>
          <w:ilvl w:val="0"/>
          <w:numId w:val="3"/>
        </w:numPr>
        <w:jc w:val="both"/>
        <w:rPr>
          <w:rFonts w:ascii="Sylfaen" w:hAnsi="Sylfaen"/>
          <w:bCs/>
          <w:i/>
          <w:iCs/>
          <w:color w:val="000000"/>
          <w:sz w:val="28"/>
          <w:szCs w:val="28"/>
        </w:rPr>
      </w:pPr>
      <w:r w:rsidRPr="00931663">
        <w:rPr>
          <w:rFonts w:ascii="Sylfaen" w:hAnsi="Sylfaen"/>
          <w:i/>
          <w:iCs/>
          <w:sz w:val="28"/>
          <w:szCs w:val="28"/>
        </w:rPr>
        <w:t>What are the practical steps for implementing of resolution (25.b) of the Policy Reference Committee Report, which reads: “D</w:t>
      </w:r>
      <w:r w:rsidRPr="00931663">
        <w:rPr>
          <w:rFonts w:ascii="Sylfaen" w:hAnsi="Sylfaen"/>
          <w:bCs/>
          <w:i/>
          <w:iCs/>
          <w:color w:val="000000"/>
          <w:sz w:val="28"/>
          <w:szCs w:val="28"/>
        </w:rPr>
        <w:t>irects that the WCC jointly consult with the Christian World Communions to explore the significance and implications of overlap of membership, coordination of programmes, and other common efforts between the WCC and the Christian World Communions”?</w:t>
      </w:r>
    </w:p>
    <w:p w14:paraId="39E5E642" w14:textId="77777777" w:rsidR="00BE6E81" w:rsidRPr="00931663" w:rsidRDefault="00BE6E81" w:rsidP="00BE6E81">
      <w:pPr>
        <w:pStyle w:val="NormalWeb"/>
        <w:spacing w:before="0" w:beforeAutospacing="0" w:after="0" w:afterAutospacing="0"/>
        <w:jc w:val="both"/>
        <w:rPr>
          <w:rFonts w:ascii="Sylfaen" w:hAnsi="Sylfaen"/>
          <w:sz w:val="28"/>
          <w:szCs w:val="28"/>
        </w:rPr>
      </w:pPr>
    </w:p>
    <w:p w14:paraId="1D3F5D6D" w14:textId="1C5BF296" w:rsidR="00BE6E81" w:rsidRDefault="00BE6E81" w:rsidP="005A76A6">
      <w:pPr>
        <w:jc w:val="both"/>
        <w:rPr>
          <w:rFonts w:ascii="Sylfaen" w:hAnsi="Sylfaen"/>
          <w:sz w:val="28"/>
          <w:szCs w:val="28"/>
        </w:rPr>
      </w:pPr>
      <w:r w:rsidRPr="00931663">
        <w:rPr>
          <w:rFonts w:ascii="Sylfaen" w:hAnsi="Sylfaen"/>
          <w:sz w:val="28"/>
          <w:szCs w:val="28"/>
        </w:rPr>
        <w:t>16. Third, Porto Alegre challenges us to explore the possibilities of “</w:t>
      </w:r>
      <w:r w:rsidRPr="00931663">
        <w:rPr>
          <w:rFonts w:ascii="Sylfaen" w:hAnsi="Sylfaen"/>
          <w:color w:val="000000"/>
          <w:sz w:val="28"/>
          <w:szCs w:val="28"/>
        </w:rPr>
        <w:t>expanded space in the structure of WCC Assemblies for confessional meetings, and the vision ultimately of a broadly inclusive ecumenical assembly.”</w:t>
      </w:r>
      <w:r w:rsidR="000A66E6">
        <w:rPr>
          <w:rStyle w:val="FootnoteReference"/>
          <w:rFonts w:ascii="Sylfaen" w:hAnsi="Sylfaen"/>
          <w:color w:val="000000"/>
          <w:sz w:val="28"/>
          <w:szCs w:val="28"/>
        </w:rPr>
        <w:footnoteReference w:id="14"/>
      </w:r>
      <w:r w:rsidRPr="00931663">
        <w:rPr>
          <w:rFonts w:ascii="Sylfaen" w:hAnsi="Sylfaen"/>
        </w:rPr>
        <w:t xml:space="preserve"> </w:t>
      </w:r>
      <w:r w:rsidRPr="00931663">
        <w:rPr>
          <w:rFonts w:ascii="Sylfaen" w:hAnsi="Sylfaen"/>
          <w:sz w:val="28"/>
          <w:szCs w:val="28"/>
        </w:rPr>
        <w:t>We have received three documents (</w:t>
      </w:r>
      <w:r w:rsidRPr="00931663">
        <w:rPr>
          <w:rFonts w:ascii="Sylfaen" w:hAnsi="Sylfaen"/>
          <w:i/>
          <w:iCs/>
          <w:sz w:val="28"/>
          <w:szCs w:val="28"/>
        </w:rPr>
        <w:t>[1] WCC Executive Committee (February 27–March 2, 2007) discussion paper Towards the Next Assembly: A Discussion Starter. [2] Towards the next WCC Assembly: An update to the Joint Consultative Commission between the WCC and CWCs. [3] WCC General Secretary’s April 2007 letter regarding the next WCC Assembly</w:t>
      </w:r>
      <w:r w:rsidRPr="00931663">
        <w:rPr>
          <w:rFonts w:ascii="Sylfaen" w:hAnsi="Sylfaen"/>
          <w:sz w:val="28"/>
          <w:szCs w:val="28"/>
        </w:rPr>
        <w:t>) elaborating the ethos of the WCC 9</w:t>
      </w:r>
      <w:r w:rsidRPr="00931663">
        <w:rPr>
          <w:rFonts w:ascii="Sylfaen" w:hAnsi="Sylfaen"/>
          <w:sz w:val="28"/>
          <w:szCs w:val="28"/>
          <w:vertAlign w:val="superscript"/>
        </w:rPr>
        <w:t>th</w:t>
      </w:r>
      <w:r w:rsidRPr="00931663">
        <w:rPr>
          <w:rFonts w:ascii="Sylfaen" w:hAnsi="Sylfaen"/>
          <w:sz w:val="28"/>
          <w:szCs w:val="28"/>
        </w:rPr>
        <w:t xml:space="preserve"> Assembly recommendation, which invites the WCC to explore “the feasibility of a structure for WCC assemblies that would provide expanded space for Christian World Communions and confessional families to meet, for the purpose of deliberation and/or overall agendas.”</w:t>
      </w:r>
      <w:r w:rsidR="000A66E6">
        <w:rPr>
          <w:rStyle w:val="FootnoteReference"/>
          <w:rFonts w:ascii="Sylfaen" w:hAnsi="Sylfaen"/>
          <w:sz w:val="28"/>
          <w:szCs w:val="28"/>
        </w:rPr>
        <w:footnoteReference w:id="15"/>
      </w:r>
      <w:r w:rsidRPr="00931663">
        <w:rPr>
          <w:rFonts w:ascii="Sylfaen" w:hAnsi="Sylfaen"/>
        </w:rPr>
        <w:t xml:space="preserve"> </w:t>
      </w:r>
      <w:r w:rsidRPr="00931663">
        <w:rPr>
          <w:rFonts w:ascii="Sylfaen" w:hAnsi="Sylfaen"/>
          <w:sz w:val="28"/>
          <w:szCs w:val="28"/>
        </w:rPr>
        <w:t xml:space="preserve">During session III we will hear more about this specific topic under agenda item </w:t>
      </w:r>
      <w:r w:rsidRPr="00931663">
        <w:rPr>
          <w:rFonts w:ascii="Sylfaen" w:hAnsi="Sylfaen"/>
          <w:i/>
          <w:iCs/>
          <w:sz w:val="28"/>
          <w:szCs w:val="28"/>
        </w:rPr>
        <w:t>an expanded WCC Assembly and space for CWCs</w:t>
      </w:r>
      <w:r w:rsidRPr="00931663">
        <w:rPr>
          <w:rFonts w:ascii="Sylfaen" w:hAnsi="Sylfaen"/>
          <w:sz w:val="28"/>
          <w:szCs w:val="28"/>
        </w:rPr>
        <w:t xml:space="preserve">, and among other concerns, we will thoroughly discuss the applicability of the term ‘ecumenical’ for this assembly aimed to gather all the churches, the hosts of this assembly and the constitutional implications related to it. Here, I would like only to mention that this assembly scheduled for 2013 will try to provide wider appropriate structural expression for the ecumenical partners and economize on available human and financial resources. </w:t>
      </w:r>
    </w:p>
    <w:p w14:paraId="0A3B3AD5" w14:textId="77777777" w:rsidR="005A76A6" w:rsidRPr="005A76A6" w:rsidRDefault="005A76A6" w:rsidP="005A76A6">
      <w:pPr>
        <w:jc w:val="both"/>
        <w:rPr>
          <w:rFonts w:ascii="Sylfaen" w:hAnsi="Sylfaen"/>
          <w:i/>
          <w:iCs/>
          <w:sz w:val="28"/>
          <w:szCs w:val="28"/>
        </w:rPr>
      </w:pPr>
    </w:p>
    <w:p w14:paraId="22EFEC9A" w14:textId="77777777" w:rsidR="00BE6E81" w:rsidRPr="00931663" w:rsidRDefault="00BE6E81" w:rsidP="00BE6E81">
      <w:pPr>
        <w:jc w:val="both"/>
        <w:rPr>
          <w:rFonts w:ascii="Sylfaen" w:hAnsi="Sylfaen"/>
          <w:sz w:val="28"/>
          <w:szCs w:val="28"/>
        </w:rPr>
      </w:pPr>
      <w:r w:rsidRPr="00931663">
        <w:rPr>
          <w:rFonts w:ascii="Sylfaen" w:hAnsi="Sylfaen"/>
          <w:sz w:val="28"/>
          <w:szCs w:val="28"/>
        </w:rPr>
        <w:lastRenderedPageBreak/>
        <w:t>17. I express my joy that this consultative process of holding a joint assembly, which started as a way of enhancing collaboration between the WCC and its ecumenical partners, has gained a great momentum through some Christian World Communions. The World Alliance of Reformed Churches and the Lutheran World Federation already have submitted specific proposals to the WCC regarding this assembly.</w:t>
      </w:r>
    </w:p>
    <w:p w14:paraId="695486CA" w14:textId="77777777" w:rsidR="00BE6E81" w:rsidRPr="00931663" w:rsidRDefault="00BE6E81" w:rsidP="00BE6E81">
      <w:pPr>
        <w:jc w:val="both"/>
        <w:rPr>
          <w:rFonts w:ascii="Sylfaen" w:hAnsi="Sylfaen"/>
          <w:sz w:val="28"/>
          <w:szCs w:val="28"/>
        </w:rPr>
      </w:pPr>
    </w:p>
    <w:p w14:paraId="6AC3F216" w14:textId="77777777" w:rsidR="00BE6E81" w:rsidRPr="00931663" w:rsidRDefault="00BE6E81" w:rsidP="00BE6E81">
      <w:pPr>
        <w:numPr>
          <w:ilvl w:val="0"/>
          <w:numId w:val="1"/>
        </w:numPr>
        <w:jc w:val="both"/>
        <w:rPr>
          <w:rFonts w:ascii="Sylfaen" w:hAnsi="Sylfaen"/>
          <w:sz w:val="28"/>
          <w:szCs w:val="28"/>
        </w:rPr>
      </w:pPr>
      <w:r w:rsidRPr="00931663">
        <w:rPr>
          <w:rFonts w:ascii="Sylfaen" w:hAnsi="Sylfaen"/>
          <w:i/>
          <w:iCs/>
          <w:sz w:val="28"/>
          <w:szCs w:val="28"/>
        </w:rPr>
        <w:t>To what extent are we ready to surpass national, ethnic and cultural differences to go beyond intra- and inter-confessionalism and to commit ourselves to the emerging new relational realities of the ecumenical movement in conciliar fellowship and reconciled diversities for common witness and service?</w:t>
      </w:r>
    </w:p>
    <w:p w14:paraId="7A2B15BF" w14:textId="77777777" w:rsidR="00BE6E81" w:rsidRPr="00931663" w:rsidRDefault="00BE6E81" w:rsidP="00BE6E81">
      <w:pPr>
        <w:jc w:val="both"/>
        <w:rPr>
          <w:rFonts w:ascii="Sylfaen" w:hAnsi="Sylfaen"/>
          <w:sz w:val="28"/>
          <w:szCs w:val="28"/>
        </w:rPr>
      </w:pPr>
      <w:r w:rsidRPr="00931663">
        <w:rPr>
          <w:rFonts w:ascii="Sylfaen" w:hAnsi="Sylfaen"/>
          <w:sz w:val="28"/>
          <w:szCs w:val="28"/>
        </w:rPr>
        <w:t xml:space="preserve"> </w:t>
      </w:r>
    </w:p>
    <w:p w14:paraId="61EE45D5" w14:textId="77777777" w:rsidR="00BE6E81" w:rsidRPr="00931663" w:rsidRDefault="00BE6E81" w:rsidP="00BE6E81">
      <w:pPr>
        <w:jc w:val="both"/>
        <w:rPr>
          <w:rFonts w:ascii="Sylfaen" w:hAnsi="Sylfaen"/>
          <w:sz w:val="28"/>
          <w:szCs w:val="28"/>
        </w:rPr>
      </w:pPr>
      <w:r w:rsidRPr="00931663">
        <w:rPr>
          <w:rFonts w:ascii="Sylfaen" w:hAnsi="Sylfaen"/>
          <w:sz w:val="28"/>
          <w:szCs w:val="28"/>
        </w:rPr>
        <w:t xml:space="preserve">18. I conclude by sharing with you my most recent ecumenical experience. Monday to Wednesday I had the enriching opportunity of participating in the Ecumenical Officers and Round Table meetings. I joined many people with clear vision, great commitment and impressive calling for ecumenical witness and service. My encounter with the Youth Body inspired me with abundant hope for the present and future of ecumenism. But this vision, commitment, calling and hope can be transformed into the renewal of the ecumenical movement only if we give up our reluctance to work ecumenically, stop persistently clinging to the </w:t>
      </w:r>
      <w:r w:rsidRPr="00931663">
        <w:rPr>
          <w:rFonts w:ascii="Sylfaen" w:hAnsi="Sylfaen"/>
          <w:i/>
          <w:iCs/>
          <w:sz w:val="28"/>
          <w:szCs w:val="28"/>
        </w:rPr>
        <w:t>status quo</w:t>
      </w:r>
      <w:r w:rsidRPr="00931663">
        <w:rPr>
          <w:rFonts w:ascii="Sylfaen" w:hAnsi="Sylfaen"/>
          <w:sz w:val="28"/>
          <w:szCs w:val="28"/>
        </w:rPr>
        <w:t xml:space="preserve"> of same priorities on many ecumenical agendas and the same people on many ecumenical bodies, and seriously take into account both the limited human and financial resources.</w:t>
      </w:r>
    </w:p>
    <w:p w14:paraId="0CF9E98E" w14:textId="77777777" w:rsidR="00BE6E81" w:rsidRPr="00931663" w:rsidRDefault="00BE6E81" w:rsidP="00BE6E81">
      <w:pPr>
        <w:jc w:val="both"/>
        <w:rPr>
          <w:rFonts w:ascii="Sylfaen" w:hAnsi="Sylfaen"/>
          <w:sz w:val="28"/>
          <w:szCs w:val="28"/>
        </w:rPr>
      </w:pPr>
    </w:p>
    <w:p w14:paraId="6A8192A6" w14:textId="77777777" w:rsidR="00BE6E81" w:rsidRPr="00931663" w:rsidRDefault="00BE6E81" w:rsidP="00BE6E81">
      <w:pPr>
        <w:jc w:val="both"/>
        <w:rPr>
          <w:rFonts w:ascii="Sylfaen" w:hAnsi="Sylfaen"/>
          <w:sz w:val="28"/>
          <w:szCs w:val="28"/>
        </w:rPr>
      </w:pPr>
      <w:r w:rsidRPr="00931663">
        <w:rPr>
          <w:rFonts w:ascii="Sylfaen" w:hAnsi="Sylfaen"/>
          <w:sz w:val="28"/>
          <w:szCs w:val="28"/>
        </w:rPr>
        <w:t>19. The future of the Joint Consultative Commission between the World Council of Churches and the Christian World Communions very much depends on our open and honest discussions here today. A mandate for our work was articulated by the WCC’s 9</w:t>
      </w:r>
      <w:r w:rsidRPr="00931663">
        <w:rPr>
          <w:rFonts w:ascii="Sylfaen" w:hAnsi="Sylfaen"/>
          <w:sz w:val="28"/>
          <w:szCs w:val="28"/>
          <w:vertAlign w:val="superscript"/>
        </w:rPr>
        <w:t>th</w:t>
      </w:r>
      <w:r w:rsidRPr="00931663">
        <w:rPr>
          <w:rFonts w:ascii="Sylfaen" w:hAnsi="Sylfaen"/>
          <w:sz w:val="28"/>
          <w:szCs w:val="28"/>
        </w:rPr>
        <w:t xml:space="preserve"> Assembly. However, the way we respond to that mandate very much depends on the commitment and vision of those gathered here. The smallest of efforts to promote the visible unity of the church and the common witness of the ecumenical movement through greater cooperation and collaboration between the WCC and the Christian World Communions will certainly be strengthened through the Holy Spirit.</w:t>
      </w:r>
    </w:p>
    <w:p w14:paraId="07E3CEA3" w14:textId="77777777" w:rsidR="00BE6E81" w:rsidRPr="00931663" w:rsidRDefault="00BE6E81" w:rsidP="00BE6E81">
      <w:pPr>
        <w:tabs>
          <w:tab w:val="left" w:pos="0"/>
          <w:tab w:val="left" w:pos="180"/>
        </w:tabs>
        <w:jc w:val="both"/>
        <w:rPr>
          <w:rFonts w:ascii="Sylfaen" w:hAnsi="Sylfaen"/>
          <w:sz w:val="28"/>
          <w:szCs w:val="28"/>
        </w:rPr>
      </w:pPr>
    </w:p>
    <w:p w14:paraId="497AFF02" w14:textId="77777777" w:rsidR="00BE6E81" w:rsidRPr="00931663" w:rsidRDefault="00BE6E81" w:rsidP="00BE6E81">
      <w:pPr>
        <w:rPr>
          <w:rFonts w:ascii="Sylfaen" w:hAnsi="Sylfaen"/>
          <w:sz w:val="28"/>
          <w:szCs w:val="28"/>
        </w:rPr>
      </w:pPr>
      <w:r w:rsidRPr="00931663">
        <w:rPr>
          <w:rFonts w:ascii="Sylfaen" w:hAnsi="Sylfaen"/>
          <w:sz w:val="28"/>
          <w:szCs w:val="28"/>
        </w:rPr>
        <w:lastRenderedPageBreak/>
        <w:t>Bishop Nareg Alemezian</w:t>
      </w:r>
    </w:p>
    <w:p w14:paraId="394036D2" w14:textId="77777777" w:rsidR="00F946E7" w:rsidRDefault="00BE6E81" w:rsidP="00B27440">
      <w:pPr>
        <w:rPr>
          <w:rFonts w:ascii="Sylfaen" w:hAnsi="Sylfaen"/>
          <w:iCs/>
          <w:sz w:val="28"/>
          <w:szCs w:val="28"/>
        </w:rPr>
      </w:pPr>
      <w:r w:rsidRPr="00931663">
        <w:rPr>
          <w:rFonts w:ascii="Sylfaen" w:hAnsi="Sylfaen"/>
          <w:iCs/>
          <w:sz w:val="28"/>
          <w:szCs w:val="28"/>
        </w:rPr>
        <w:t>Armenian Apostolic Orthodox Church – Holy See of Cilicia</w:t>
      </w:r>
    </w:p>
    <w:p w14:paraId="35790BE2" w14:textId="6DA3A00E" w:rsidR="007D7895" w:rsidRDefault="00BE6E81" w:rsidP="00B27440">
      <w:r w:rsidRPr="00931663">
        <w:rPr>
          <w:rFonts w:ascii="Sylfaen" w:hAnsi="Sylfaen"/>
          <w:iCs/>
          <w:sz w:val="28"/>
          <w:szCs w:val="28"/>
        </w:rPr>
        <w:t>Antelias-Lebanon</w:t>
      </w:r>
    </w:p>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24B454" w14:textId="77777777" w:rsidR="009F6359" w:rsidRDefault="009F6359" w:rsidP="00BE6E81">
      <w:r>
        <w:separator/>
      </w:r>
    </w:p>
  </w:endnote>
  <w:endnote w:type="continuationSeparator" w:id="0">
    <w:p w14:paraId="59B9FD46" w14:textId="77777777" w:rsidR="009F6359" w:rsidRDefault="009F6359" w:rsidP="00BE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8373053"/>
      <w:docPartObj>
        <w:docPartGallery w:val="Page Numbers (Bottom of Page)"/>
        <w:docPartUnique/>
      </w:docPartObj>
    </w:sdtPr>
    <w:sdtContent>
      <w:p w14:paraId="11409A38" w14:textId="37570734" w:rsidR="00BE6E81" w:rsidRDefault="00BE6E8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AA09A4" w14:textId="77777777" w:rsidR="00BE6E81" w:rsidRDefault="00BE6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8308075"/>
      <w:docPartObj>
        <w:docPartGallery w:val="Page Numbers (Bottom of Page)"/>
        <w:docPartUnique/>
      </w:docPartObj>
    </w:sdtPr>
    <w:sdtContent>
      <w:p w14:paraId="5F0986F7" w14:textId="5F33C6CC" w:rsidR="00BE6E81" w:rsidRDefault="00BE6E8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83F2E2" w14:textId="77777777" w:rsidR="00BE6E81" w:rsidRDefault="00BE6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BFA89C" w14:textId="77777777" w:rsidR="009F6359" w:rsidRDefault="009F6359" w:rsidP="00BE6E81">
      <w:r>
        <w:separator/>
      </w:r>
    </w:p>
  </w:footnote>
  <w:footnote w:type="continuationSeparator" w:id="0">
    <w:p w14:paraId="3C355DA1" w14:textId="77777777" w:rsidR="009F6359" w:rsidRDefault="009F6359" w:rsidP="00BE6E81">
      <w:r>
        <w:continuationSeparator/>
      </w:r>
    </w:p>
  </w:footnote>
  <w:footnote w:id="1">
    <w:p w14:paraId="52BE4853" w14:textId="7C35373F" w:rsidR="00F109D5" w:rsidRPr="00F109D5" w:rsidRDefault="00F109D5" w:rsidP="00F109D5">
      <w:pPr>
        <w:pStyle w:val="FootnoteText"/>
        <w:jc w:val="both"/>
        <w:rPr>
          <w:rFonts w:ascii="Sylfaen" w:hAnsi="Sylfaen"/>
          <w:lang w:val="en-US"/>
        </w:rPr>
      </w:pPr>
      <w:r w:rsidRPr="00F109D5">
        <w:rPr>
          <w:rStyle w:val="FootnoteReference"/>
          <w:rFonts w:ascii="Sylfaen" w:hAnsi="Sylfaen"/>
        </w:rPr>
        <w:footnoteRef/>
      </w:r>
      <w:r w:rsidRPr="00F109D5">
        <w:rPr>
          <w:rFonts w:ascii="Sylfaen" w:hAnsi="Sylfaen"/>
        </w:rPr>
        <w:t xml:space="preserve"> </w:t>
      </w:r>
      <w:r w:rsidRPr="00F109D5">
        <w:rPr>
          <w:rFonts w:ascii="Sylfaen" w:hAnsi="Sylfaen"/>
        </w:rPr>
        <w:t xml:space="preserve">Immediately before the formation of the World Council of Churches the regional principle and confessional basis of church membership has been intensively debated (see, W. A. Visser ’t Hooft, </w:t>
      </w:r>
      <w:r w:rsidRPr="00F109D5">
        <w:rPr>
          <w:rFonts w:ascii="Sylfaen" w:hAnsi="Sylfaen"/>
          <w:i/>
          <w:iCs/>
        </w:rPr>
        <w:t>The Genesis and Formation of the World Council of Churches</w:t>
      </w:r>
      <w:r w:rsidRPr="00F109D5">
        <w:rPr>
          <w:rFonts w:ascii="Sylfaen" w:hAnsi="Sylfaen"/>
        </w:rPr>
        <w:t>, WCC, Geneva, c1987, pp. 61–62). At its First Assembly (Amsterdam, 1948), WCC made appropriate constitutional prerequisites for sufficient balanced representation on the Central Committee, as we read: “The Committee on Nominations in drawing up this list has had to take into consideration the numerical size of the member churches, as well as the need of adequate confessional representation and geographical distribution” (</w:t>
      </w:r>
      <w:r w:rsidRPr="00F109D5">
        <w:rPr>
          <w:rFonts w:ascii="Sylfaen" w:hAnsi="Sylfaen"/>
          <w:i/>
          <w:iCs/>
        </w:rPr>
        <w:t>Ibid.</w:t>
      </w:r>
      <w:r w:rsidRPr="00F109D5">
        <w:rPr>
          <w:rFonts w:ascii="Sylfaen" w:hAnsi="Sylfaen"/>
        </w:rPr>
        <w:t>, p. 65).</w:t>
      </w:r>
    </w:p>
  </w:footnote>
  <w:footnote w:id="2">
    <w:p w14:paraId="0766CB7C" w14:textId="77777777" w:rsidR="0006225F" w:rsidRPr="0006225F" w:rsidRDefault="0006225F" w:rsidP="0006225F">
      <w:pPr>
        <w:pStyle w:val="FootnoteText"/>
        <w:jc w:val="both"/>
        <w:rPr>
          <w:rFonts w:ascii="Sylfaen" w:hAnsi="Sylfaen"/>
          <w:lang w:val="en"/>
        </w:rPr>
      </w:pPr>
      <w:r w:rsidRPr="0006225F">
        <w:rPr>
          <w:rStyle w:val="FootnoteReference"/>
          <w:rFonts w:ascii="Sylfaen" w:hAnsi="Sylfaen"/>
        </w:rPr>
        <w:footnoteRef/>
      </w:r>
      <w:r w:rsidRPr="0006225F">
        <w:rPr>
          <w:rFonts w:ascii="Sylfaen" w:hAnsi="Sylfaen"/>
        </w:rPr>
        <w:t xml:space="preserve"> </w:t>
      </w:r>
      <w:r w:rsidRPr="0006225F">
        <w:rPr>
          <w:rFonts w:ascii="Sylfaen" w:hAnsi="Sylfaen"/>
        </w:rPr>
        <w:t>“</w:t>
      </w:r>
      <w:r w:rsidRPr="0006225F">
        <w:rPr>
          <w:rFonts w:ascii="Sylfaen" w:hAnsi="Sylfaen"/>
          <w:lang w:val="en"/>
        </w:rPr>
        <w:t xml:space="preserve">The visible unity of the church is the central goal of the ecumenical movement. And while “visible unity” can be understood in various ways, it necessarily involves </w:t>
      </w:r>
      <w:r w:rsidRPr="0006225F">
        <w:rPr>
          <w:rStyle w:val="Emphasis"/>
          <w:rFonts w:ascii="Sylfaen" w:hAnsi="Sylfaen"/>
          <w:b/>
          <w:bCs/>
          <w:lang w:val="en"/>
        </w:rPr>
        <w:t>relationships</w:t>
      </w:r>
      <w:r w:rsidRPr="0006225F">
        <w:rPr>
          <w:rFonts w:ascii="Sylfaen" w:hAnsi="Sylfaen"/>
          <w:lang w:val="en"/>
        </w:rPr>
        <w:t xml:space="preserve"> between churches.” (</w:t>
      </w:r>
      <w:r w:rsidRPr="0006225F">
        <w:rPr>
          <w:rFonts w:ascii="Sylfaen" w:hAnsi="Sylfaen"/>
          <w:i/>
          <w:iCs/>
          <w:lang w:val="en"/>
        </w:rPr>
        <w:t>WCC and the Ecumenical Movement in the 21</w:t>
      </w:r>
      <w:r w:rsidRPr="0006225F">
        <w:rPr>
          <w:rFonts w:ascii="Sylfaen" w:hAnsi="Sylfaen"/>
          <w:i/>
          <w:iCs/>
          <w:vertAlign w:val="superscript"/>
          <w:lang w:val="en"/>
        </w:rPr>
        <w:t>st</w:t>
      </w:r>
      <w:r w:rsidRPr="0006225F">
        <w:rPr>
          <w:rFonts w:ascii="Sylfaen" w:hAnsi="Sylfaen"/>
          <w:i/>
          <w:iCs/>
          <w:lang w:val="en"/>
        </w:rPr>
        <w:t xml:space="preserve"> Century</w:t>
      </w:r>
      <w:r w:rsidRPr="0006225F">
        <w:rPr>
          <w:rFonts w:ascii="Sylfaen" w:hAnsi="Sylfaen"/>
          <w:lang w:val="en"/>
        </w:rPr>
        <w:t xml:space="preserve">, webpage accessed on April 29, 2007): </w:t>
      </w:r>
    </w:p>
    <w:p w14:paraId="68575854" w14:textId="0D9900C9" w:rsidR="0006225F" w:rsidRPr="0006225F" w:rsidRDefault="0006225F" w:rsidP="0006225F">
      <w:pPr>
        <w:pStyle w:val="FootnoteText"/>
        <w:rPr>
          <w:rFonts w:ascii="Sylfaen" w:hAnsi="Sylfaen"/>
          <w:lang w:val="en-US"/>
        </w:rPr>
      </w:pPr>
      <w:hyperlink r:id="rId1" w:history="1">
        <w:r w:rsidRPr="0006225F">
          <w:rPr>
            <w:rStyle w:val="Hyperlink"/>
            <w:rFonts w:ascii="Sylfaen" w:hAnsi="Sylfaen"/>
            <w:lang w:val="en"/>
          </w:rPr>
          <w:t>http://www.oikoumene.org/en/programmes/the-wcc-and-the-ecumenical-movement-in-the-21st-century.html</w:t>
        </w:r>
      </w:hyperlink>
    </w:p>
  </w:footnote>
  <w:footnote w:id="3">
    <w:p w14:paraId="75D87461" w14:textId="77777777" w:rsidR="00437FF3" w:rsidRDefault="00437FF3" w:rsidP="00437FF3">
      <w:pPr>
        <w:jc w:val="both"/>
        <w:rPr>
          <w:rFonts w:ascii="Sylfaen" w:hAnsi="Sylfaen"/>
          <w:sz w:val="20"/>
          <w:szCs w:val="20"/>
        </w:rPr>
      </w:pPr>
      <w:r w:rsidRPr="00437FF3">
        <w:rPr>
          <w:rStyle w:val="FootnoteReference"/>
          <w:rFonts w:ascii="Sylfaen" w:hAnsi="Sylfaen"/>
          <w:sz w:val="20"/>
          <w:szCs w:val="20"/>
        </w:rPr>
        <w:footnoteRef/>
      </w:r>
      <w:r w:rsidRPr="00437FF3">
        <w:rPr>
          <w:rFonts w:ascii="Sylfaen" w:hAnsi="Sylfaen"/>
          <w:sz w:val="20"/>
          <w:szCs w:val="20"/>
        </w:rPr>
        <w:t xml:space="preserve"> </w:t>
      </w:r>
      <w:r w:rsidRPr="00437FF3">
        <w:rPr>
          <w:rFonts w:ascii="Sylfaen" w:hAnsi="Sylfaen"/>
          <w:b/>
          <w:bCs/>
          <w:i/>
          <w:iCs/>
          <w:sz w:val="20"/>
          <w:szCs w:val="20"/>
        </w:rPr>
        <w:t>A Policy Statement</w:t>
      </w:r>
      <w:r w:rsidRPr="00437FF3">
        <w:rPr>
          <w:rFonts w:ascii="Sylfaen" w:hAnsi="Sylfaen"/>
          <w:i/>
          <w:iCs/>
          <w:sz w:val="20"/>
          <w:szCs w:val="20"/>
        </w:rPr>
        <w:t xml:space="preserve"> adopted by the Central Committee of the World Council of Churches and commended to member churches and ecumenical partners for study and action in September 1997</w:t>
      </w:r>
      <w:r w:rsidRPr="00437FF3">
        <w:rPr>
          <w:rFonts w:ascii="Sylfaen" w:hAnsi="Sylfaen"/>
          <w:sz w:val="20"/>
          <w:szCs w:val="20"/>
        </w:rPr>
        <w:t xml:space="preserve">. (World Council of Churches Church and Ecumenical Relations, webpage accessed on May 1, 2007): </w:t>
      </w:r>
    </w:p>
    <w:p w14:paraId="7442F4B6" w14:textId="1DCA05E5" w:rsidR="00437FF3" w:rsidRPr="00437FF3" w:rsidRDefault="00D82AFC" w:rsidP="00437FF3">
      <w:pPr>
        <w:jc w:val="both"/>
        <w:rPr>
          <w:rFonts w:ascii="Sylfaen" w:hAnsi="Sylfaen"/>
          <w:sz w:val="20"/>
          <w:szCs w:val="20"/>
        </w:rPr>
      </w:pPr>
      <w:hyperlink r:id="rId2" w:history="1">
        <w:r w:rsidRPr="002C5C20">
          <w:rPr>
            <w:rStyle w:val="Hyperlink"/>
            <w:rFonts w:ascii="Sylfaen" w:hAnsi="Sylfaen"/>
            <w:sz w:val="20"/>
            <w:szCs w:val="20"/>
          </w:rPr>
          <w:t>http://wcc-coe.org/wcc/what/ecumenical/index-e.html</w:t>
        </w:r>
      </w:hyperlink>
    </w:p>
    <w:p w14:paraId="052B7724" w14:textId="47B2E406" w:rsidR="00437FF3" w:rsidRPr="00437FF3" w:rsidRDefault="00437FF3">
      <w:pPr>
        <w:pStyle w:val="FootnoteText"/>
        <w:rPr>
          <w:lang w:val="en-US"/>
        </w:rPr>
      </w:pPr>
    </w:p>
  </w:footnote>
  <w:footnote w:id="4">
    <w:p w14:paraId="13305D81" w14:textId="77777777" w:rsidR="00442325" w:rsidRPr="00442325" w:rsidRDefault="00D82AFC" w:rsidP="00442325">
      <w:pPr>
        <w:pStyle w:val="FootnoteText"/>
        <w:jc w:val="both"/>
        <w:rPr>
          <w:rFonts w:ascii="Sylfaen" w:hAnsi="Sylfaen"/>
          <w:lang w:val="en"/>
        </w:rPr>
      </w:pPr>
      <w:r w:rsidRPr="00442325">
        <w:rPr>
          <w:rStyle w:val="FootnoteReference"/>
          <w:rFonts w:ascii="Sylfaen" w:hAnsi="Sylfaen"/>
        </w:rPr>
        <w:footnoteRef/>
      </w:r>
      <w:r w:rsidRPr="00442325">
        <w:rPr>
          <w:rFonts w:ascii="Sylfaen" w:hAnsi="Sylfaen"/>
        </w:rPr>
        <w:t xml:space="preserve"> </w:t>
      </w:r>
      <w:r w:rsidR="00442325" w:rsidRPr="00442325">
        <w:rPr>
          <w:rFonts w:ascii="Sylfaen" w:hAnsi="Sylfaen"/>
        </w:rPr>
        <w:t>Later on, in the process of the reconfiguration of the ecumenical movement, these partners are defined as “</w:t>
      </w:r>
      <w:r w:rsidR="00442325" w:rsidRPr="00442325">
        <w:rPr>
          <w:rFonts w:ascii="Sylfaen" w:hAnsi="Sylfaen"/>
          <w:lang w:val="en"/>
        </w:rPr>
        <w:t xml:space="preserve">regional ecumenical organizations, and national councils of churches, regional and sub-regional fellowships and partnerships, ecumenical agencies/specialized ministries, international ecumenical organizations, Christian World Communions, ecumenical communities, mission agencies, theological colleges and associations, ecumenical academies and lay training </w:t>
      </w:r>
      <w:proofErr w:type="spellStart"/>
      <w:r w:rsidR="00442325" w:rsidRPr="00442325">
        <w:rPr>
          <w:rFonts w:ascii="Sylfaen" w:hAnsi="Sylfaen"/>
          <w:lang w:val="en"/>
        </w:rPr>
        <w:t>centres</w:t>
      </w:r>
      <w:proofErr w:type="spellEnd"/>
      <w:r w:rsidR="00442325" w:rsidRPr="00442325">
        <w:rPr>
          <w:rFonts w:ascii="Sylfaen" w:hAnsi="Sylfaen"/>
          <w:lang w:val="en"/>
        </w:rPr>
        <w:t>, and many other ecumenical bodies.” (</w:t>
      </w:r>
      <w:r w:rsidR="00442325" w:rsidRPr="00442325">
        <w:rPr>
          <w:rFonts w:ascii="Sylfaen" w:hAnsi="Sylfaen"/>
          <w:i/>
          <w:iCs/>
          <w:lang w:val="en"/>
        </w:rPr>
        <w:t xml:space="preserve">From </w:t>
      </w:r>
      <w:proofErr w:type="spellStart"/>
      <w:r w:rsidR="00442325" w:rsidRPr="00442325">
        <w:rPr>
          <w:rFonts w:ascii="Sylfaen" w:hAnsi="Sylfaen"/>
          <w:i/>
          <w:iCs/>
          <w:lang w:val="en"/>
        </w:rPr>
        <w:t>Antelias</w:t>
      </w:r>
      <w:proofErr w:type="spellEnd"/>
      <w:r w:rsidR="00442325" w:rsidRPr="00442325">
        <w:rPr>
          <w:rFonts w:ascii="Sylfaen" w:hAnsi="Sylfaen"/>
          <w:i/>
          <w:iCs/>
          <w:lang w:val="en"/>
        </w:rPr>
        <w:t xml:space="preserve"> with Love</w:t>
      </w:r>
      <w:r w:rsidR="00442325" w:rsidRPr="00442325">
        <w:rPr>
          <w:rFonts w:ascii="Sylfaen" w:hAnsi="Sylfaen"/>
          <w:lang w:val="en"/>
        </w:rPr>
        <w:t xml:space="preserve">, </w:t>
      </w:r>
      <w:r w:rsidR="00442325" w:rsidRPr="00442325">
        <w:rPr>
          <w:rFonts w:ascii="Sylfaen" w:hAnsi="Sylfaen"/>
        </w:rPr>
        <w:t>webpage accessed on May 1, 2007):</w:t>
      </w:r>
    </w:p>
    <w:p w14:paraId="6F7DCE4C" w14:textId="417FCA99" w:rsidR="00D82AFC" w:rsidRPr="00D82AFC" w:rsidRDefault="00442325" w:rsidP="00442325">
      <w:pPr>
        <w:pStyle w:val="FootnoteText"/>
        <w:rPr>
          <w:lang w:val="en-US"/>
        </w:rPr>
      </w:pPr>
      <w:r w:rsidRPr="00442325">
        <w:rPr>
          <w:rFonts w:ascii="Sylfaen" w:hAnsi="Sylfaen"/>
          <w:lang w:val="en"/>
        </w:rPr>
        <w:t>(</w:t>
      </w:r>
      <w:hyperlink r:id="rId3" w:history="1">
        <w:r w:rsidRPr="00442325">
          <w:rPr>
            <w:rStyle w:val="Hyperlink"/>
            <w:rFonts w:ascii="Sylfaen" w:hAnsi="Sylfaen"/>
          </w:rPr>
          <w:t>http://www.oikoumene.org/en/resources/documents/wcc-programmes/church-and-ecumenical-relations/youth/20-11-03-from-antelias-with-love.html</w:t>
        </w:r>
      </w:hyperlink>
    </w:p>
  </w:footnote>
  <w:footnote w:id="5">
    <w:p w14:paraId="7276DD52" w14:textId="4E3D2B6E" w:rsidR="00C467C7" w:rsidRPr="00C467C7" w:rsidRDefault="00C467C7" w:rsidP="00C467C7">
      <w:pPr>
        <w:pStyle w:val="FootnoteText"/>
        <w:jc w:val="both"/>
        <w:rPr>
          <w:rFonts w:ascii="Sylfaen" w:hAnsi="Sylfaen"/>
          <w:lang w:val="en-US"/>
        </w:rPr>
      </w:pPr>
      <w:r w:rsidRPr="00C467C7">
        <w:rPr>
          <w:rStyle w:val="FootnoteReference"/>
          <w:rFonts w:ascii="Sylfaen" w:hAnsi="Sylfaen"/>
        </w:rPr>
        <w:footnoteRef/>
      </w:r>
      <w:r w:rsidRPr="00C467C7">
        <w:rPr>
          <w:rFonts w:ascii="Sylfaen" w:hAnsi="Sylfaen"/>
        </w:rPr>
        <w:t xml:space="preserve"> </w:t>
      </w:r>
      <w:r w:rsidRPr="00C467C7">
        <w:rPr>
          <w:rFonts w:ascii="Sylfaen" w:hAnsi="Sylfaen"/>
        </w:rPr>
        <w:t xml:space="preserve">Especially in the context of strengthening the fellowship of the WCC, the remarkable contribution of the </w:t>
      </w:r>
      <w:r w:rsidRPr="00C467C7">
        <w:rPr>
          <w:rFonts w:ascii="Sylfaen" w:hAnsi="Sylfaen"/>
          <w:i/>
          <w:iCs/>
        </w:rPr>
        <w:t xml:space="preserve">Special Commission on Orthodox Participation in the World Council of Churches </w:t>
      </w:r>
      <w:r w:rsidRPr="00C467C7">
        <w:rPr>
          <w:rFonts w:ascii="Sylfaen" w:hAnsi="Sylfaen"/>
        </w:rPr>
        <w:t>needs to be noted.</w:t>
      </w:r>
    </w:p>
  </w:footnote>
  <w:footnote w:id="6">
    <w:p w14:paraId="7CC0FC6C" w14:textId="43FC5065" w:rsidR="00C467C7" w:rsidRPr="00C467C7" w:rsidRDefault="00C467C7" w:rsidP="00C467C7">
      <w:pPr>
        <w:pStyle w:val="FootnoteText"/>
        <w:jc w:val="both"/>
        <w:rPr>
          <w:rFonts w:ascii="Sylfaen" w:hAnsi="Sylfaen"/>
          <w:lang w:val="en-US"/>
        </w:rPr>
      </w:pPr>
      <w:r w:rsidRPr="00C467C7">
        <w:rPr>
          <w:rStyle w:val="FootnoteReference"/>
          <w:rFonts w:ascii="Sylfaen" w:hAnsi="Sylfaen"/>
        </w:rPr>
        <w:footnoteRef/>
      </w:r>
      <w:r w:rsidRPr="00C467C7">
        <w:rPr>
          <w:rFonts w:ascii="Sylfaen" w:hAnsi="Sylfaen"/>
        </w:rPr>
        <w:t xml:space="preserve"> </w:t>
      </w:r>
      <w:r w:rsidRPr="00C467C7">
        <w:rPr>
          <w:rFonts w:ascii="Sylfaen" w:hAnsi="Sylfaen"/>
        </w:rPr>
        <w:t>WCC 9</w:t>
      </w:r>
      <w:r w:rsidRPr="00C467C7">
        <w:rPr>
          <w:rFonts w:ascii="Sylfaen" w:hAnsi="Sylfaen"/>
          <w:vertAlign w:val="superscript"/>
        </w:rPr>
        <w:t>th</w:t>
      </w:r>
      <w:r w:rsidRPr="00C467C7">
        <w:rPr>
          <w:rFonts w:ascii="Sylfaen" w:hAnsi="Sylfaen"/>
        </w:rPr>
        <w:t xml:space="preserve"> Assembly Document No. PGC 02, </w:t>
      </w:r>
      <w:r w:rsidRPr="00C467C7">
        <w:rPr>
          <w:rFonts w:ascii="Sylfaen" w:hAnsi="Sylfaen"/>
          <w:i/>
          <w:iCs/>
        </w:rPr>
        <w:t>Report of the Programme Guidelines Committee</w:t>
      </w:r>
      <w:r w:rsidRPr="00C467C7">
        <w:rPr>
          <w:rFonts w:ascii="Sylfaen" w:hAnsi="Sylfaen"/>
        </w:rPr>
        <w:t>, paragraph 3, p. 1.</w:t>
      </w:r>
    </w:p>
  </w:footnote>
  <w:footnote w:id="7">
    <w:p w14:paraId="3C03150F" w14:textId="0D0C0047" w:rsidR="00C467C7" w:rsidRPr="00E06DEB" w:rsidRDefault="00C467C7" w:rsidP="00E06DEB">
      <w:pPr>
        <w:pStyle w:val="FootnoteText"/>
        <w:jc w:val="both"/>
        <w:rPr>
          <w:rFonts w:ascii="Sylfaen" w:hAnsi="Sylfaen"/>
          <w:lang w:val="en-US"/>
        </w:rPr>
      </w:pPr>
      <w:r w:rsidRPr="00E06DEB">
        <w:rPr>
          <w:rStyle w:val="FootnoteReference"/>
          <w:rFonts w:ascii="Sylfaen" w:hAnsi="Sylfaen"/>
        </w:rPr>
        <w:footnoteRef/>
      </w:r>
      <w:r w:rsidRPr="00E06DEB">
        <w:rPr>
          <w:rFonts w:ascii="Sylfaen" w:hAnsi="Sylfaen"/>
        </w:rPr>
        <w:t xml:space="preserve"> </w:t>
      </w:r>
      <w:r w:rsidR="00E06DEB" w:rsidRPr="00E06DEB">
        <w:rPr>
          <w:rFonts w:ascii="Sylfaen" w:hAnsi="Sylfaen"/>
        </w:rPr>
        <w:t>WCC 9</w:t>
      </w:r>
      <w:r w:rsidR="00E06DEB" w:rsidRPr="00E06DEB">
        <w:rPr>
          <w:rFonts w:ascii="Sylfaen" w:hAnsi="Sylfaen"/>
          <w:vertAlign w:val="superscript"/>
        </w:rPr>
        <w:t>th</w:t>
      </w:r>
      <w:r w:rsidR="00E06DEB" w:rsidRPr="00E06DEB">
        <w:rPr>
          <w:rFonts w:ascii="Sylfaen" w:hAnsi="Sylfaen"/>
        </w:rPr>
        <w:t xml:space="preserve"> Assembly Document No. PRC 01 Rev., </w:t>
      </w:r>
      <w:r w:rsidR="00E06DEB" w:rsidRPr="00E06DEB">
        <w:rPr>
          <w:rFonts w:ascii="Sylfaen" w:hAnsi="Sylfaen"/>
          <w:i/>
          <w:iCs/>
        </w:rPr>
        <w:t>Report of the Policy Reference Committee</w:t>
      </w:r>
      <w:r w:rsidR="00E06DEB" w:rsidRPr="00E06DEB">
        <w:rPr>
          <w:rFonts w:ascii="Sylfaen" w:hAnsi="Sylfaen"/>
        </w:rPr>
        <w:t>, paragraph 11, p. 3.</w:t>
      </w:r>
    </w:p>
  </w:footnote>
  <w:footnote w:id="8">
    <w:p w14:paraId="03E7C3BE" w14:textId="5131EE7C" w:rsidR="00E06DEB" w:rsidRPr="00AD4C38" w:rsidRDefault="00E06DEB" w:rsidP="00AD4C38">
      <w:pPr>
        <w:pStyle w:val="FootnoteText"/>
        <w:jc w:val="both"/>
        <w:rPr>
          <w:rFonts w:ascii="Sylfaen" w:hAnsi="Sylfaen"/>
          <w:lang w:val="en-US"/>
        </w:rPr>
      </w:pPr>
      <w:r w:rsidRPr="00AD4C38">
        <w:rPr>
          <w:rStyle w:val="FootnoteReference"/>
          <w:rFonts w:ascii="Sylfaen" w:hAnsi="Sylfaen"/>
        </w:rPr>
        <w:footnoteRef/>
      </w:r>
      <w:r w:rsidRPr="00AD4C38">
        <w:rPr>
          <w:rFonts w:ascii="Sylfaen" w:hAnsi="Sylfaen"/>
        </w:rPr>
        <w:t xml:space="preserve"> </w:t>
      </w:r>
      <w:r w:rsidR="00AD4C38" w:rsidRPr="00AD4C38">
        <w:rPr>
          <w:rFonts w:ascii="Sylfaen" w:hAnsi="Sylfaen"/>
          <w:i/>
          <w:iCs/>
        </w:rPr>
        <w:t>Report of the Policy Reference Committee</w:t>
      </w:r>
      <w:r w:rsidR="00AD4C38" w:rsidRPr="00AD4C38">
        <w:rPr>
          <w:rFonts w:ascii="Sylfaen" w:hAnsi="Sylfaen"/>
        </w:rPr>
        <w:t>, paragraph 23, p. 5.</w:t>
      </w:r>
    </w:p>
  </w:footnote>
  <w:footnote w:id="9">
    <w:p w14:paraId="4D5C3B35" w14:textId="72C1FA6A" w:rsidR="00AD4C38" w:rsidRPr="00AD4C38" w:rsidRDefault="00AD4C38" w:rsidP="00AD4C38">
      <w:pPr>
        <w:pStyle w:val="FootnoteText"/>
        <w:jc w:val="both"/>
        <w:rPr>
          <w:rFonts w:ascii="Sylfaen" w:hAnsi="Sylfaen"/>
          <w:lang w:val="en-US"/>
        </w:rPr>
      </w:pPr>
      <w:r w:rsidRPr="00AD4C38">
        <w:rPr>
          <w:rStyle w:val="FootnoteReference"/>
          <w:rFonts w:ascii="Sylfaen" w:hAnsi="Sylfaen"/>
        </w:rPr>
        <w:footnoteRef/>
      </w:r>
      <w:r w:rsidRPr="00AD4C38">
        <w:rPr>
          <w:rFonts w:ascii="Sylfaen" w:hAnsi="Sylfaen"/>
        </w:rPr>
        <w:t xml:space="preserve"> </w:t>
      </w:r>
      <w:r w:rsidRPr="00AD4C38">
        <w:rPr>
          <w:rFonts w:ascii="Sylfaen" w:hAnsi="Sylfaen"/>
          <w:i/>
          <w:iCs/>
        </w:rPr>
        <w:t>Report of the Programme Guidelines Committee</w:t>
      </w:r>
      <w:r w:rsidRPr="00AD4C38">
        <w:rPr>
          <w:rFonts w:ascii="Sylfaen" w:hAnsi="Sylfaen"/>
        </w:rPr>
        <w:t>, paragraph 5, pp. 1–2.</w:t>
      </w:r>
    </w:p>
  </w:footnote>
  <w:footnote w:id="10">
    <w:p w14:paraId="116DFA2F" w14:textId="034C9CF6" w:rsidR="00AD4C38" w:rsidRPr="00AD4C38" w:rsidRDefault="00AD4C38" w:rsidP="00AD4C38">
      <w:pPr>
        <w:pStyle w:val="FootnoteText"/>
        <w:jc w:val="both"/>
        <w:rPr>
          <w:rFonts w:ascii="Sylfaen" w:hAnsi="Sylfaen"/>
          <w:lang w:val="en-US"/>
        </w:rPr>
      </w:pPr>
      <w:r w:rsidRPr="00AD4C38">
        <w:rPr>
          <w:rStyle w:val="FootnoteReference"/>
          <w:rFonts w:ascii="Sylfaen" w:hAnsi="Sylfaen"/>
        </w:rPr>
        <w:footnoteRef/>
      </w:r>
      <w:r w:rsidRPr="00AD4C38">
        <w:rPr>
          <w:rFonts w:ascii="Sylfaen" w:hAnsi="Sylfaen"/>
        </w:rPr>
        <w:t xml:space="preserve"> </w:t>
      </w:r>
      <w:r w:rsidRPr="00AD4C38">
        <w:rPr>
          <w:rFonts w:ascii="Sylfaen" w:hAnsi="Sylfaen"/>
          <w:i/>
          <w:iCs/>
        </w:rPr>
        <w:t>Report of the Programme Guidelines Committee</w:t>
      </w:r>
      <w:r w:rsidRPr="00AD4C38">
        <w:rPr>
          <w:rFonts w:ascii="Sylfaen" w:hAnsi="Sylfaen"/>
        </w:rPr>
        <w:t>, paragraph 17, p. 4.</w:t>
      </w:r>
    </w:p>
  </w:footnote>
  <w:footnote w:id="11">
    <w:p w14:paraId="6461FF4D" w14:textId="562042D4" w:rsidR="00AD4C38" w:rsidRPr="006D437C" w:rsidRDefault="00AD4C38" w:rsidP="006D437C">
      <w:pPr>
        <w:pStyle w:val="FootnoteText"/>
        <w:jc w:val="both"/>
        <w:rPr>
          <w:rFonts w:ascii="Sylfaen" w:hAnsi="Sylfaen"/>
          <w:lang w:val="en-US"/>
        </w:rPr>
      </w:pPr>
      <w:r w:rsidRPr="006D437C">
        <w:rPr>
          <w:rStyle w:val="FootnoteReference"/>
          <w:rFonts w:ascii="Sylfaen" w:hAnsi="Sylfaen"/>
        </w:rPr>
        <w:footnoteRef/>
      </w:r>
      <w:r w:rsidRPr="006D437C">
        <w:rPr>
          <w:rFonts w:ascii="Sylfaen" w:hAnsi="Sylfaen"/>
        </w:rPr>
        <w:t xml:space="preserve"> </w:t>
      </w:r>
      <w:r w:rsidR="006D437C" w:rsidRPr="006D437C">
        <w:rPr>
          <w:rFonts w:ascii="Sylfaen" w:hAnsi="Sylfaen"/>
          <w:i/>
          <w:iCs/>
        </w:rPr>
        <w:t>Report of the Policy Reference Committee</w:t>
      </w:r>
      <w:r w:rsidR="006D437C" w:rsidRPr="006D437C">
        <w:rPr>
          <w:rFonts w:ascii="Sylfaen" w:hAnsi="Sylfaen"/>
        </w:rPr>
        <w:t>, paragraph 23, p. 5.</w:t>
      </w:r>
    </w:p>
  </w:footnote>
  <w:footnote w:id="12">
    <w:p w14:paraId="473E22BB" w14:textId="4B78600A" w:rsidR="006D437C" w:rsidRPr="00252254" w:rsidRDefault="006D437C" w:rsidP="00252254">
      <w:pPr>
        <w:pStyle w:val="FootnoteText"/>
        <w:jc w:val="both"/>
        <w:rPr>
          <w:rFonts w:ascii="Sylfaen" w:hAnsi="Sylfaen"/>
          <w:lang w:val="en-US"/>
        </w:rPr>
      </w:pPr>
      <w:r w:rsidRPr="00252254">
        <w:rPr>
          <w:rStyle w:val="FootnoteReference"/>
          <w:rFonts w:ascii="Sylfaen" w:hAnsi="Sylfaen"/>
        </w:rPr>
        <w:footnoteRef/>
      </w:r>
      <w:r w:rsidRPr="00252254">
        <w:rPr>
          <w:rFonts w:ascii="Sylfaen" w:hAnsi="Sylfaen"/>
        </w:rPr>
        <w:t xml:space="preserve"> </w:t>
      </w:r>
      <w:r w:rsidR="00252254" w:rsidRPr="00252254">
        <w:rPr>
          <w:rFonts w:ascii="Sylfaen" w:hAnsi="Sylfaen"/>
        </w:rPr>
        <w:t>WCC 9</w:t>
      </w:r>
      <w:r w:rsidR="00252254" w:rsidRPr="00252254">
        <w:rPr>
          <w:rFonts w:ascii="Sylfaen" w:hAnsi="Sylfaen"/>
          <w:vertAlign w:val="superscript"/>
        </w:rPr>
        <w:t>th</w:t>
      </w:r>
      <w:r w:rsidR="00252254" w:rsidRPr="00252254">
        <w:rPr>
          <w:rFonts w:ascii="Sylfaen" w:hAnsi="Sylfaen"/>
        </w:rPr>
        <w:t xml:space="preserve"> Assembly Document No. PRC 01.1, </w:t>
      </w:r>
      <w:r w:rsidR="00252254" w:rsidRPr="00252254">
        <w:rPr>
          <w:rFonts w:ascii="Sylfaen" w:hAnsi="Sylfaen"/>
          <w:i/>
          <w:iCs/>
        </w:rPr>
        <w:t>Called to be the One Church,</w:t>
      </w:r>
      <w:r w:rsidR="00252254" w:rsidRPr="00252254">
        <w:rPr>
          <w:rFonts w:ascii="Sylfaen" w:hAnsi="Sylfaen"/>
        </w:rPr>
        <w:t xml:space="preserve"> Part IV, paragraph 11, p. 3.</w:t>
      </w:r>
    </w:p>
  </w:footnote>
  <w:footnote w:id="13">
    <w:p w14:paraId="4F311CAC" w14:textId="4EE8DDC6" w:rsidR="00252254" w:rsidRPr="000A66E6" w:rsidRDefault="00252254" w:rsidP="000A66E6">
      <w:pPr>
        <w:pStyle w:val="FootnoteText"/>
        <w:jc w:val="both"/>
        <w:rPr>
          <w:rFonts w:ascii="Sylfaen" w:hAnsi="Sylfaen"/>
          <w:lang w:val="en-US"/>
        </w:rPr>
      </w:pPr>
      <w:r w:rsidRPr="000A66E6">
        <w:rPr>
          <w:rStyle w:val="FootnoteReference"/>
          <w:rFonts w:ascii="Sylfaen" w:hAnsi="Sylfaen"/>
        </w:rPr>
        <w:footnoteRef/>
      </w:r>
      <w:r w:rsidRPr="000A66E6">
        <w:rPr>
          <w:rFonts w:ascii="Sylfaen" w:hAnsi="Sylfaen"/>
        </w:rPr>
        <w:t xml:space="preserve"> </w:t>
      </w:r>
      <w:r w:rsidR="000A66E6" w:rsidRPr="000A66E6">
        <w:rPr>
          <w:rFonts w:ascii="Sylfaen" w:hAnsi="Sylfaen"/>
          <w:i/>
          <w:iCs/>
        </w:rPr>
        <w:t>Report of the Programme Guidelines Committee</w:t>
      </w:r>
      <w:r w:rsidR="000A66E6" w:rsidRPr="000A66E6">
        <w:rPr>
          <w:rFonts w:ascii="Sylfaen" w:hAnsi="Sylfaen"/>
        </w:rPr>
        <w:t>, paragraph 12, p. 3.</w:t>
      </w:r>
    </w:p>
  </w:footnote>
  <w:footnote w:id="14">
    <w:p w14:paraId="0AE93DCC" w14:textId="241BE29F" w:rsidR="000A66E6" w:rsidRPr="000A66E6" w:rsidRDefault="000A66E6" w:rsidP="000A66E6">
      <w:pPr>
        <w:pStyle w:val="FootnoteText"/>
        <w:jc w:val="both"/>
        <w:rPr>
          <w:rFonts w:ascii="Sylfaen" w:hAnsi="Sylfaen"/>
          <w:lang w:val="en-US"/>
        </w:rPr>
      </w:pPr>
      <w:r w:rsidRPr="000A66E6">
        <w:rPr>
          <w:rStyle w:val="FootnoteReference"/>
          <w:rFonts w:ascii="Sylfaen" w:hAnsi="Sylfaen"/>
        </w:rPr>
        <w:footnoteRef/>
      </w:r>
      <w:r w:rsidRPr="000A66E6">
        <w:rPr>
          <w:rFonts w:ascii="Sylfaen" w:hAnsi="Sylfaen"/>
        </w:rPr>
        <w:t xml:space="preserve"> </w:t>
      </w:r>
      <w:r w:rsidRPr="000A66E6">
        <w:rPr>
          <w:rFonts w:ascii="Sylfaen" w:hAnsi="Sylfaen"/>
          <w:i/>
          <w:iCs/>
        </w:rPr>
        <w:t>Report of the Policy Reference Committee</w:t>
      </w:r>
      <w:r w:rsidRPr="000A66E6">
        <w:rPr>
          <w:rFonts w:ascii="Sylfaen" w:hAnsi="Sylfaen"/>
        </w:rPr>
        <w:t>, paragraph 24, p. 5.</w:t>
      </w:r>
    </w:p>
  </w:footnote>
  <w:footnote w:id="15">
    <w:p w14:paraId="738D7706" w14:textId="3570693D" w:rsidR="000A66E6" w:rsidRPr="00B27440" w:rsidRDefault="000A66E6" w:rsidP="00B27440">
      <w:pPr>
        <w:pStyle w:val="FootnoteText"/>
        <w:jc w:val="both"/>
        <w:rPr>
          <w:rFonts w:ascii="Sylfaen" w:hAnsi="Sylfaen"/>
          <w:lang w:val="en-US"/>
        </w:rPr>
      </w:pPr>
      <w:r w:rsidRPr="00B27440">
        <w:rPr>
          <w:rStyle w:val="FootnoteReference"/>
          <w:rFonts w:ascii="Sylfaen" w:hAnsi="Sylfaen"/>
        </w:rPr>
        <w:footnoteRef/>
      </w:r>
      <w:r w:rsidRPr="00B27440">
        <w:rPr>
          <w:rFonts w:ascii="Sylfaen" w:hAnsi="Sylfaen"/>
        </w:rPr>
        <w:t xml:space="preserve"> </w:t>
      </w:r>
      <w:r w:rsidR="00B27440" w:rsidRPr="00B27440">
        <w:rPr>
          <w:rFonts w:ascii="Sylfaen" w:hAnsi="Sylfaen"/>
          <w:i/>
          <w:iCs/>
        </w:rPr>
        <w:t>Report of the Policy Reference Committee</w:t>
      </w:r>
      <w:r w:rsidR="00B27440" w:rsidRPr="00B27440">
        <w:rPr>
          <w:rFonts w:ascii="Sylfaen" w:hAnsi="Sylfaen"/>
        </w:rPr>
        <w:t>, paragraph 25, p.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90CEC"/>
    <w:multiLevelType w:val="hybridMultilevel"/>
    <w:tmpl w:val="301AB5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1C51B4"/>
    <w:multiLevelType w:val="hybridMultilevel"/>
    <w:tmpl w:val="3F727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6B4C69"/>
    <w:multiLevelType w:val="hybridMultilevel"/>
    <w:tmpl w:val="938E5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01109440">
    <w:abstractNumId w:val="0"/>
  </w:num>
  <w:num w:numId="2" w16cid:durableId="1051883145">
    <w:abstractNumId w:val="2"/>
  </w:num>
  <w:num w:numId="3" w16cid:durableId="12389758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E81"/>
    <w:rsid w:val="0006225F"/>
    <w:rsid w:val="000A66E6"/>
    <w:rsid w:val="000A6E37"/>
    <w:rsid w:val="00157BF2"/>
    <w:rsid w:val="00252254"/>
    <w:rsid w:val="003D7CBC"/>
    <w:rsid w:val="00437FF3"/>
    <w:rsid w:val="00442325"/>
    <w:rsid w:val="005824C9"/>
    <w:rsid w:val="00587D63"/>
    <w:rsid w:val="005A76A6"/>
    <w:rsid w:val="006D437C"/>
    <w:rsid w:val="007334D3"/>
    <w:rsid w:val="007D7895"/>
    <w:rsid w:val="0091106B"/>
    <w:rsid w:val="009F6359"/>
    <w:rsid w:val="00AD4C38"/>
    <w:rsid w:val="00B27440"/>
    <w:rsid w:val="00B41865"/>
    <w:rsid w:val="00BE6E81"/>
    <w:rsid w:val="00C467C7"/>
    <w:rsid w:val="00D82AFC"/>
    <w:rsid w:val="00E06DEB"/>
    <w:rsid w:val="00F109D5"/>
    <w:rsid w:val="00F946E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16B7C64"/>
  <w15:chartTrackingRefBased/>
  <w15:docId w15:val="{7E1C05EA-3E50-BA4C-AB20-BCBCC9F8E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E8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E6E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6E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6E8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6E8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6E8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6E8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6E8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6E8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6E8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E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6E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6E8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6E8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6E8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6E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6E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6E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6E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6E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E8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E6E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E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6E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6E81"/>
    <w:rPr>
      <w:i/>
      <w:iCs/>
      <w:color w:val="404040" w:themeColor="text1" w:themeTint="BF"/>
    </w:rPr>
  </w:style>
  <w:style w:type="paragraph" w:styleId="ListParagraph">
    <w:name w:val="List Paragraph"/>
    <w:basedOn w:val="Normal"/>
    <w:uiPriority w:val="34"/>
    <w:qFormat/>
    <w:rsid w:val="00BE6E81"/>
    <w:pPr>
      <w:ind w:left="720"/>
      <w:contextualSpacing/>
    </w:pPr>
  </w:style>
  <w:style w:type="character" w:styleId="IntenseEmphasis">
    <w:name w:val="Intense Emphasis"/>
    <w:basedOn w:val="DefaultParagraphFont"/>
    <w:uiPriority w:val="21"/>
    <w:qFormat/>
    <w:rsid w:val="00BE6E81"/>
    <w:rPr>
      <w:i/>
      <w:iCs/>
      <w:color w:val="2F5496" w:themeColor="accent1" w:themeShade="BF"/>
    </w:rPr>
  </w:style>
  <w:style w:type="paragraph" w:styleId="IntenseQuote">
    <w:name w:val="Intense Quote"/>
    <w:basedOn w:val="Normal"/>
    <w:next w:val="Normal"/>
    <w:link w:val="IntenseQuoteChar"/>
    <w:uiPriority w:val="30"/>
    <w:qFormat/>
    <w:rsid w:val="00BE6E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6E81"/>
    <w:rPr>
      <w:i/>
      <w:iCs/>
      <w:color w:val="2F5496" w:themeColor="accent1" w:themeShade="BF"/>
    </w:rPr>
  </w:style>
  <w:style w:type="character" w:styleId="IntenseReference">
    <w:name w:val="Intense Reference"/>
    <w:basedOn w:val="DefaultParagraphFont"/>
    <w:uiPriority w:val="32"/>
    <w:qFormat/>
    <w:rsid w:val="00BE6E81"/>
    <w:rPr>
      <w:b/>
      <w:bCs/>
      <w:smallCaps/>
      <w:color w:val="2F5496" w:themeColor="accent1" w:themeShade="BF"/>
      <w:spacing w:val="5"/>
    </w:rPr>
  </w:style>
  <w:style w:type="character" w:styleId="Hyperlink">
    <w:name w:val="Hyperlink"/>
    <w:basedOn w:val="DefaultParagraphFont"/>
    <w:uiPriority w:val="99"/>
    <w:unhideWhenUsed/>
    <w:rsid w:val="00BE6E81"/>
    <w:rPr>
      <w:color w:val="0563C1" w:themeColor="hyperlink"/>
      <w:u w:val="single"/>
    </w:rPr>
  </w:style>
  <w:style w:type="paragraph" w:styleId="FootnoteText">
    <w:name w:val="footnote text"/>
    <w:basedOn w:val="Normal"/>
    <w:link w:val="FootnoteTextChar"/>
    <w:unhideWhenUsed/>
    <w:rsid w:val="00BE6E81"/>
    <w:rPr>
      <w:sz w:val="20"/>
      <w:szCs w:val="20"/>
    </w:rPr>
  </w:style>
  <w:style w:type="character" w:customStyle="1" w:styleId="FootnoteTextChar">
    <w:name w:val="Footnote Text Char"/>
    <w:basedOn w:val="DefaultParagraphFont"/>
    <w:link w:val="FootnoteText"/>
    <w:rsid w:val="00BE6E81"/>
    <w:rPr>
      <w:rFonts w:ascii="Times New Roman" w:eastAsia="Times New Roman" w:hAnsi="Times New Roman" w:cs="Times New Roman"/>
      <w:color w:val="auto"/>
      <w:sz w:val="20"/>
      <w:szCs w:val="20"/>
    </w:rPr>
  </w:style>
  <w:style w:type="paragraph" w:styleId="NormalWeb">
    <w:name w:val="Normal (Web)"/>
    <w:basedOn w:val="Normal"/>
    <w:uiPriority w:val="99"/>
    <w:unhideWhenUsed/>
    <w:rsid w:val="00BE6E81"/>
    <w:pPr>
      <w:spacing w:before="100" w:beforeAutospacing="1" w:after="100" w:afterAutospacing="1"/>
    </w:pPr>
  </w:style>
  <w:style w:type="character" w:styleId="Emphasis">
    <w:name w:val="Emphasis"/>
    <w:basedOn w:val="DefaultParagraphFont"/>
    <w:uiPriority w:val="20"/>
    <w:qFormat/>
    <w:rsid w:val="00BE6E81"/>
    <w:rPr>
      <w:i/>
      <w:iCs/>
    </w:rPr>
  </w:style>
  <w:style w:type="paragraph" w:customStyle="1" w:styleId="bodytext">
    <w:name w:val="bodytext"/>
    <w:basedOn w:val="Normal"/>
    <w:rsid w:val="00BE6E81"/>
    <w:pPr>
      <w:spacing w:after="180"/>
    </w:pPr>
    <w:rPr>
      <w:rFonts w:ascii="Arial" w:hAnsi="Arial" w:cs="Arial"/>
      <w:sz w:val="18"/>
      <w:szCs w:val="18"/>
    </w:rPr>
  </w:style>
  <w:style w:type="paragraph" w:styleId="Footer">
    <w:name w:val="footer"/>
    <w:basedOn w:val="Normal"/>
    <w:link w:val="FooterChar"/>
    <w:uiPriority w:val="99"/>
    <w:unhideWhenUsed/>
    <w:rsid w:val="00BE6E81"/>
    <w:pPr>
      <w:tabs>
        <w:tab w:val="center" w:pos="4680"/>
        <w:tab w:val="right" w:pos="9360"/>
      </w:tabs>
    </w:pPr>
  </w:style>
  <w:style w:type="character" w:customStyle="1" w:styleId="FooterChar">
    <w:name w:val="Footer Char"/>
    <w:basedOn w:val="DefaultParagraphFont"/>
    <w:link w:val="Footer"/>
    <w:uiPriority w:val="99"/>
    <w:rsid w:val="00BE6E8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E6E81"/>
  </w:style>
  <w:style w:type="character" w:styleId="FootnoteReference">
    <w:name w:val="footnote reference"/>
    <w:basedOn w:val="DefaultParagraphFont"/>
    <w:uiPriority w:val="99"/>
    <w:semiHidden/>
    <w:unhideWhenUsed/>
    <w:rsid w:val="00F109D5"/>
    <w:rPr>
      <w:vertAlign w:val="superscript"/>
    </w:rPr>
  </w:style>
  <w:style w:type="character" w:styleId="UnresolvedMention">
    <w:name w:val="Unresolved Mention"/>
    <w:basedOn w:val="DefaultParagraphFont"/>
    <w:uiPriority w:val="99"/>
    <w:semiHidden/>
    <w:unhideWhenUsed/>
    <w:rsid w:val="00D82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oikoumene.org/en/resources/documents/wcc-programmes/church-and-ecumenical-relations/youth/20-11-03-from-antelias-with-love.html" TargetMode="External"/><Relationship Id="rId2" Type="http://schemas.openxmlformats.org/officeDocument/2006/relationships/hyperlink" Target="http://wcc-coe.org/wcc/what/ecumenical/index-e.html" TargetMode="External"/><Relationship Id="rId1" Type="http://schemas.openxmlformats.org/officeDocument/2006/relationships/hyperlink" Target="http://www.oikoumene.org/en/programmes/the-wcc-and-the-ecumenical-movement-in-the-21st-centu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70CDA-3107-024B-809F-891FBB18C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2323</Words>
  <Characters>13243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2026-07-14T15:23:00Z</dcterms:created>
  <dcterms:modified xsi:type="dcterms:W3CDTF">2026-07-14T15:48:00Z</dcterms:modified>
</cp:coreProperties>
</file>