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8589554" w14:textId="77777777" w:rsidR="00AD60C4" w:rsidRPr="00FF62EC" w:rsidRDefault="00AD60C4" w:rsidP="00AD60C4">
      <w:pPr>
        <w:jc w:val="center"/>
        <w:rPr>
          <w:rFonts w:ascii="Sylfaen" w:hAnsi="Sylfaen"/>
          <w:sz w:val="32"/>
          <w:szCs w:val="32"/>
        </w:rPr>
      </w:pPr>
      <w:r w:rsidRPr="00FF62EC">
        <w:rPr>
          <w:rFonts w:ascii="Sylfaen" w:hAnsi="Sylfaen"/>
          <w:color w:val="000000" w:themeColor="text1"/>
          <w:sz w:val="32"/>
          <w:szCs w:val="32"/>
        </w:rPr>
        <w:t>WORSHIP IN THE ARMENIAN APOSTOLIC</w:t>
      </w:r>
    </w:p>
    <w:p w14:paraId="5965ABCE" w14:textId="77777777" w:rsidR="00AD60C4" w:rsidRPr="00FF62EC" w:rsidRDefault="00AD60C4" w:rsidP="00AD60C4">
      <w:pPr>
        <w:pStyle w:val="Heading2"/>
        <w:keepNext w:val="0"/>
        <w:keepLines w:val="0"/>
        <w:widowControl w:val="0"/>
        <w:spacing w:before="0"/>
        <w:jc w:val="center"/>
        <w:rPr>
          <w:rFonts w:ascii="Sylfaen" w:hAnsi="Sylfaen"/>
          <w:color w:val="000000" w:themeColor="text1"/>
        </w:rPr>
      </w:pPr>
      <w:r w:rsidRPr="00FF62EC">
        <w:rPr>
          <w:rFonts w:ascii="Sylfaen" w:hAnsi="Sylfaen"/>
          <w:color w:val="000000" w:themeColor="text1"/>
        </w:rPr>
        <w:t xml:space="preserve"> ORTHODOX CHURCH</w:t>
      </w:r>
    </w:p>
    <w:p w14:paraId="2C7CD414" w14:textId="77777777" w:rsidR="00AD60C4" w:rsidRPr="00FF62EC" w:rsidRDefault="00AD60C4" w:rsidP="00AD60C4">
      <w:pPr>
        <w:pStyle w:val="Heading2"/>
        <w:spacing w:before="0"/>
        <w:jc w:val="center"/>
        <w:rPr>
          <w:rFonts w:ascii="Sylfaen" w:hAnsi="Sylfaen"/>
          <w:i/>
          <w:color w:val="000000" w:themeColor="text1"/>
        </w:rPr>
      </w:pPr>
      <w:r w:rsidRPr="00FF62EC">
        <w:rPr>
          <w:rFonts w:ascii="Sylfaen" w:hAnsi="Sylfaen"/>
          <w:color w:val="000000" w:themeColor="text1"/>
        </w:rPr>
        <w:t>(An Introduction)</w:t>
      </w:r>
    </w:p>
    <w:p w14:paraId="4BE0DFBA" w14:textId="77777777" w:rsidR="00AD60C4" w:rsidRPr="00FF62EC" w:rsidRDefault="00AD60C4" w:rsidP="00AD60C4">
      <w:pPr>
        <w:jc w:val="both"/>
        <w:rPr>
          <w:rFonts w:ascii="Sylfaen" w:hAnsi="Sylfaen"/>
          <w:iCs/>
          <w:sz w:val="28"/>
          <w:szCs w:val="28"/>
        </w:rPr>
      </w:pPr>
    </w:p>
    <w:p w14:paraId="0CF3C1F5" w14:textId="77777777" w:rsidR="00AD60C4" w:rsidRPr="00FF62EC" w:rsidRDefault="00AD60C4" w:rsidP="00AE21AF">
      <w:pPr>
        <w:pStyle w:val="Heading3"/>
        <w:numPr>
          <w:ilvl w:val="0"/>
          <w:numId w:val="2"/>
        </w:numPr>
        <w:tabs>
          <w:tab w:val="num" w:pos="360"/>
          <w:tab w:val="left" w:pos="567"/>
        </w:tabs>
        <w:spacing w:before="0"/>
        <w:ind w:left="284" w:firstLine="0"/>
        <w:jc w:val="both"/>
        <w:rPr>
          <w:rFonts w:ascii="Sylfaen" w:hAnsi="Sylfaen"/>
          <w:b/>
          <w:bCs/>
          <w:color w:val="000000" w:themeColor="text1"/>
        </w:rPr>
      </w:pPr>
      <w:r w:rsidRPr="00FF62EC">
        <w:rPr>
          <w:rFonts w:ascii="Sylfaen" w:hAnsi="Sylfaen"/>
          <w:b/>
          <w:bCs/>
          <w:color w:val="000000" w:themeColor="text1"/>
        </w:rPr>
        <w:t>Worship</w:t>
      </w:r>
    </w:p>
    <w:p w14:paraId="7E64903E"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Worship is the heart of Christianity as the response of Christians to the magnificent revelation and awful omnipresence of transcendent God. This meeting between God and His people is not optional and peripheral but necessary and fundamental as a token of appreciation and acknowledgement to the very fact that God reveals himself to us through his creation, the Holy Bible, Jesus Christ and Holy Spirit. In worship creatures encounter their Creator and Redeemer. This is an authentic and natural desire of the faithful as stated in Psalm 42.1: </w:t>
      </w:r>
      <w:r w:rsidRPr="00FF62EC">
        <w:rPr>
          <w:rFonts w:ascii="Sylfaen" w:hAnsi="Sylfaen"/>
          <w:i/>
          <w:iCs/>
          <w:sz w:val="28"/>
          <w:szCs w:val="28"/>
        </w:rPr>
        <w:t>“As a deer longs for flowing streams, so my soul longs for you, O God.”</w:t>
      </w:r>
    </w:p>
    <w:p w14:paraId="72FE9C39" w14:textId="77777777" w:rsidR="00AD60C4" w:rsidRPr="00FF62EC" w:rsidRDefault="00AD60C4" w:rsidP="00AD60C4">
      <w:pPr>
        <w:pStyle w:val="BodyText2"/>
        <w:spacing w:after="0" w:line="240" w:lineRule="auto"/>
        <w:jc w:val="both"/>
        <w:rPr>
          <w:rFonts w:ascii="Sylfaen" w:hAnsi="Sylfaen"/>
          <w:sz w:val="28"/>
          <w:szCs w:val="28"/>
        </w:rPr>
      </w:pPr>
    </w:p>
    <w:p w14:paraId="2CBC20BB"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Worship and service are essentially one. Through service expectation, encounter and response overflow to penetrate all aspects of a community’s daily life and devotion to God extends into commitment to serve. Therefore, worshipping and serving community become one body (I Cor 12.12ff) as branches of a living tree (Jn 15.1ff).</w:t>
      </w:r>
    </w:p>
    <w:p w14:paraId="484080AC" w14:textId="77777777" w:rsidR="00AD60C4" w:rsidRPr="00FF62EC" w:rsidRDefault="00AD60C4" w:rsidP="00AD60C4">
      <w:pPr>
        <w:pStyle w:val="BodyText2"/>
        <w:spacing w:after="0" w:line="240" w:lineRule="auto"/>
        <w:jc w:val="both"/>
        <w:rPr>
          <w:rFonts w:ascii="Sylfaen" w:hAnsi="Sylfaen"/>
          <w:sz w:val="28"/>
          <w:szCs w:val="28"/>
        </w:rPr>
      </w:pPr>
    </w:p>
    <w:p w14:paraId="6D951F0C"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Our knowledge of God, in numerous expressions of worship, is manifested through various normal, festive and aesthetic activities and gestures, e.g. adoration, devotion, gratitude, honor, joining hands, kneeling, ornaments, piety, praise, prayer, prostration, raising hands, reverence, service, singing, symbols, thanksgiving. </w:t>
      </w:r>
    </w:p>
    <w:p w14:paraId="0CD50407" w14:textId="77777777" w:rsidR="00AD60C4" w:rsidRPr="00FF62EC" w:rsidRDefault="00AD60C4" w:rsidP="00AD60C4">
      <w:pPr>
        <w:pStyle w:val="BodyText2"/>
        <w:spacing w:after="0" w:line="240" w:lineRule="auto"/>
        <w:jc w:val="both"/>
        <w:rPr>
          <w:rFonts w:ascii="Sylfaen" w:hAnsi="Sylfaen"/>
          <w:sz w:val="28"/>
          <w:szCs w:val="28"/>
        </w:rPr>
      </w:pPr>
    </w:p>
    <w:p w14:paraId="63082CF9"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Without undermining the importance of individual spirituality and personal prayer, corporate acts of rituals and ceremonies reflect the social, public, common and organic character of worship and enable the Christian Church to realize itself as a people who worship him </w:t>
      </w:r>
      <w:r w:rsidRPr="00FF62EC">
        <w:rPr>
          <w:rFonts w:ascii="Sylfaen" w:hAnsi="Sylfaen"/>
          <w:i/>
          <w:iCs/>
          <w:sz w:val="28"/>
          <w:szCs w:val="28"/>
        </w:rPr>
        <w:t>“in spirit and truth”</w:t>
      </w:r>
      <w:r w:rsidRPr="00FF62EC">
        <w:rPr>
          <w:rFonts w:ascii="Sylfaen" w:hAnsi="Sylfaen"/>
          <w:sz w:val="28"/>
          <w:szCs w:val="28"/>
        </w:rPr>
        <w:t xml:space="preserve"> (Jn 4.23).</w:t>
      </w:r>
    </w:p>
    <w:p w14:paraId="4BB241A5" w14:textId="77777777" w:rsidR="00AD60C4" w:rsidRPr="00FF62EC" w:rsidRDefault="00AD60C4" w:rsidP="00AD60C4">
      <w:pPr>
        <w:pStyle w:val="BodyText2"/>
        <w:spacing w:after="0" w:line="240" w:lineRule="auto"/>
        <w:jc w:val="both"/>
        <w:rPr>
          <w:rFonts w:ascii="Sylfaen" w:hAnsi="Sylfaen"/>
          <w:sz w:val="28"/>
          <w:szCs w:val="28"/>
        </w:rPr>
      </w:pPr>
    </w:p>
    <w:p w14:paraId="108D3415"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In worship we confess the greatness of God and adhere to the instruction of worshipping and serving him only (Ex 20.1–3; Josh 24.14–15), with our whole being (Deut 6.5; Lk 10.27; Rom 12.1) and guided by the Holy Spirit (Rom 8.26; </w:t>
      </w:r>
      <w:r w:rsidRPr="00FF62EC">
        <w:rPr>
          <w:rFonts w:ascii="Sylfaen" w:hAnsi="Sylfaen"/>
          <w:sz w:val="28"/>
          <w:szCs w:val="28"/>
        </w:rPr>
        <w:lastRenderedPageBreak/>
        <w:t>Phil 3.3). The end-purpose of worship is to meet God and to enter into union with him (Jn 12.26).</w:t>
      </w:r>
    </w:p>
    <w:p w14:paraId="1413B4A4" w14:textId="77777777" w:rsidR="00AD60C4" w:rsidRPr="00FF62EC" w:rsidRDefault="00AD60C4" w:rsidP="00AD60C4">
      <w:pPr>
        <w:pStyle w:val="BodyText2"/>
        <w:spacing w:after="0" w:line="240" w:lineRule="auto"/>
        <w:jc w:val="both"/>
        <w:rPr>
          <w:rFonts w:ascii="Sylfaen" w:hAnsi="Sylfaen"/>
          <w:sz w:val="28"/>
          <w:szCs w:val="28"/>
        </w:rPr>
      </w:pPr>
    </w:p>
    <w:p w14:paraId="5305B518" w14:textId="77777777" w:rsidR="00AD60C4" w:rsidRPr="00FF62EC" w:rsidRDefault="00AD60C4" w:rsidP="00AD60C4">
      <w:pPr>
        <w:pStyle w:val="BodyText2"/>
        <w:numPr>
          <w:ilvl w:val="0"/>
          <w:numId w:val="2"/>
        </w:numPr>
        <w:spacing w:after="0" w:line="240" w:lineRule="auto"/>
        <w:jc w:val="both"/>
        <w:rPr>
          <w:rFonts w:ascii="Sylfaen" w:hAnsi="Sylfaen"/>
          <w:b/>
          <w:bCs/>
          <w:iCs/>
          <w:sz w:val="28"/>
          <w:szCs w:val="28"/>
        </w:rPr>
      </w:pPr>
      <w:r w:rsidRPr="00FF62EC">
        <w:rPr>
          <w:rFonts w:ascii="Sylfaen" w:hAnsi="Sylfaen"/>
          <w:b/>
          <w:bCs/>
          <w:iCs/>
          <w:sz w:val="28"/>
          <w:szCs w:val="28"/>
        </w:rPr>
        <w:t xml:space="preserve">The calendar of the Armenian Orthodox Church </w:t>
      </w:r>
    </w:p>
    <w:p w14:paraId="1D01386E"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This is a summary of the important features of the calendar of the Armenian Orthodox Church to facilitate the understanding of the ordo of worship in various ceremonies and rituals referred to below.</w:t>
      </w:r>
    </w:p>
    <w:p w14:paraId="52DE9E37" w14:textId="77777777" w:rsidR="00AD60C4" w:rsidRPr="00FF62EC" w:rsidRDefault="00AD60C4" w:rsidP="00AD60C4">
      <w:pPr>
        <w:pStyle w:val="BodyText2"/>
        <w:spacing w:after="0" w:line="240" w:lineRule="auto"/>
        <w:jc w:val="both"/>
        <w:rPr>
          <w:rFonts w:ascii="Sylfaen" w:hAnsi="Sylfaen"/>
          <w:sz w:val="28"/>
          <w:szCs w:val="28"/>
        </w:rPr>
      </w:pPr>
    </w:p>
    <w:p w14:paraId="41687E0B" w14:textId="77777777" w:rsidR="00AD60C4" w:rsidRPr="00FF62EC" w:rsidRDefault="00AD60C4" w:rsidP="00AD60C4">
      <w:pPr>
        <w:pStyle w:val="BodyText2"/>
        <w:spacing w:after="0" w:line="240" w:lineRule="auto"/>
        <w:jc w:val="both"/>
        <w:rPr>
          <w:rFonts w:ascii="Sylfaen" w:hAnsi="Sylfaen"/>
          <w:bCs/>
          <w:sz w:val="28"/>
          <w:szCs w:val="28"/>
        </w:rPr>
      </w:pPr>
      <w:r w:rsidRPr="00FF62EC">
        <w:rPr>
          <w:rFonts w:ascii="Sylfaen" w:hAnsi="Sylfaen"/>
          <w:sz w:val="28"/>
          <w:szCs w:val="28"/>
        </w:rPr>
        <w:t xml:space="preserve">The Armenian Church has developed a calendar system based on the weekly cycle, which includes three types of days: </w:t>
      </w:r>
      <w:r w:rsidRPr="00FF62EC">
        <w:rPr>
          <w:rFonts w:ascii="Sylfaen" w:hAnsi="Sylfaen"/>
          <w:bCs/>
          <w:sz w:val="28"/>
          <w:szCs w:val="28"/>
        </w:rPr>
        <w:t xml:space="preserve">A) Dominical feasts; B) Feasts of the saints; C) Days of abstinence. </w:t>
      </w:r>
    </w:p>
    <w:p w14:paraId="60B85292" w14:textId="77777777" w:rsidR="00AD60C4" w:rsidRPr="00FF62EC" w:rsidRDefault="00AD60C4" w:rsidP="00AD60C4">
      <w:pPr>
        <w:pStyle w:val="BodyText2"/>
        <w:spacing w:after="0" w:line="240" w:lineRule="auto"/>
        <w:jc w:val="both"/>
        <w:rPr>
          <w:rFonts w:ascii="Sylfaen" w:hAnsi="Sylfaen"/>
          <w:sz w:val="28"/>
          <w:szCs w:val="28"/>
        </w:rPr>
      </w:pPr>
    </w:p>
    <w:p w14:paraId="1A449E6E"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All these days are movable except for six: </w:t>
      </w:r>
      <w:r w:rsidRPr="00FF62EC">
        <w:rPr>
          <w:rFonts w:ascii="Sylfaen" w:hAnsi="Sylfaen"/>
          <w:bCs/>
          <w:sz w:val="28"/>
          <w:szCs w:val="28"/>
        </w:rPr>
        <w:t>A) Theophany and Nativity (January 6); B) Presentation of the Lord to the Temple (February 14); C) Annunciation (April 7); D) Feast of the Birth of Holy Mother-of-God (September 8); E) Presentation of Holy Mother-of-God (November 21); F) Conception of Virgin St. Mary by St. Anne (December 9).</w:t>
      </w:r>
    </w:p>
    <w:p w14:paraId="557EB14F" w14:textId="77777777" w:rsidR="00AD60C4" w:rsidRPr="00FF62EC" w:rsidRDefault="00AD60C4" w:rsidP="00AD60C4">
      <w:pPr>
        <w:pStyle w:val="BodyText2"/>
        <w:spacing w:after="0" w:line="240" w:lineRule="auto"/>
        <w:jc w:val="both"/>
        <w:rPr>
          <w:rFonts w:ascii="Sylfaen" w:hAnsi="Sylfaen"/>
          <w:sz w:val="28"/>
          <w:szCs w:val="28"/>
        </w:rPr>
      </w:pPr>
    </w:p>
    <w:p w14:paraId="78650B3F" w14:textId="77777777" w:rsidR="00AD60C4" w:rsidRPr="00FF62EC" w:rsidRDefault="00AD60C4" w:rsidP="00AD60C4">
      <w:pPr>
        <w:pStyle w:val="BodyText2"/>
        <w:spacing w:after="0" w:line="240" w:lineRule="auto"/>
        <w:jc w:val="both"/>
        <w:rPr>
          <w:rFonts w:ascii="Sylfaen" w:hAnsi="Sylfaen"/>
          <w:bCs/>
          <w:sz w:val="28"/>
          <w:szCs w:val="28"/>
        </w:rPr>
      </w:pPr>
      <w:r w:rsidRPr="00FF62EC">
        <w:rPr>
          <w:rFonts w:ascii="Sylfaen" w:hAnsi="Sylfaen"/>
          <w:sz w:val="28"/>
          <w:szCs w:val="28"/>
        </w:rPr>
        <w:t xml:space="preserve">The liturgical year of the Armenian Orthodox Church is divided into eight great periods or seasons, namely: </w:t>
      </w:r>
      <w:r w:rsidRPr="00FF62EC">
        <w:rPr>
          <w:rFonts w:ascii="Sylfaen" w:hAnsi="Sylfaen"/>
          <w:bCs/>
          <w:sz w:val="28"/>
          <w:szCs w:val="28"/>
        </w:rPr>
        <w:t>A) Theophany and Nativity; B) Lent; C) Easter; D) Pentecost; E) Transfiguration; F) Assumption; G) Exaltation of the Holy Cross; H) Advent.</w:t>
      </w:r>
    </w:p>
    <w:p w14:paraId="576D7123" w14:textId="77777777" w:rsidR="00AD60C4" w:rsidRPr="00FF62EC" w:rsidRDefault="00AD60C4" w:rsidP="00AD60C4">
      <w:pPr>
        <w:pStyle w:val="BodyText2"/>
        <w:spacing w:after="0" w:line="240" w:lineRule="auto"/>
        <w:jc w:val="both"/>
        <w:rPr>
          <w:rFonts w:ascii="Sylfaen" w:hAnsi="Sylfaen"/>
          <w:sz w:val="28"/>
          <w:szCs w:val="28"/>
        </w:rPr>
      </w:pPr>
    </w:p>
    <w:p w14:paraId="1C9A324B" w14:textId="77777777" w:rsidR="00AD60C4" w:rsidRPr="00FF62EC" w:rsidRDefault="00AD60C4" w:rsidP="00AD60C4">
      <w:pPr>
        <w:pStyle w:val="BodyText2"/>
        <w:numPr>
          <w:ilvl w:val="0"/>
          <w:numId w:val="2"/>
        </w:numPr>
        <w:spacing w:after="0" w:line="240" w:lineRule="auto"/>
        <w:jc w:val="both"/>
        <w:rPr>
          <w:rFonts w:ascii="Sylfaen" w:hAnsi="Sylfaen"/>
          <w:b/>
          <w:bCs/>
          <w:iCs/>
          <w:sz w:val="28"/>
          <w:szCs w:val="28"/>
        </w:rPr>
      </w:pPr>
      <w:r w:rsidRPr="00FF62EC">
        <w:rPr>
          <w:rFonts w:ascii="Sylfaen" w:hAnsi="Sylfaen"/>
          <w:b/>
          <w:bCs/>
          <w:iCs/>
          <w:sz w:val="28"/>
          <w:szCs w:val="28"/>
        </w:rPr>
        <w:t>Ceremonies and rituals</w:t>
      </w:r>
    </w:p>
    <w:p w14:paraId="62883445"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In the Armenian Orthodox Church the faithful worship and serve God through the following ceremonies and rituals:</w:t>
      </w:r>
    </w:p>
    <w:p w14:paraId="1E4A30C8" w14:textId="77777777" w:rsidR="00AD60C4" w:rsidRPr="00FF62EC" w:rsidRDefault="00AD60C4" w:rsidP="00AD60C4">
      <w:pPr>
        <w:pStyle w:val="BodyText2"/>
        <w:spacing w:after="0" w:line="240" w:lineRule="auto"/>
        <w:jc w:val="both"/>
        <w:rPr>
          <w:rFonts w:ascii="Sylfaen" w:hAnsi="Sylfaen"/>
          <w:sz w:val="28"/>
          <w:szCs w:val="28"/>
        </w:rPr>
      </w:pPr>
    </w:p>
    <w:p w14:paraId="1F3E29D9"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b/>
          <w:bCs/>
          <w:iCs/>
          <w:sz w:val="28"/>
          <w:szCs w:val="28"/>
        </w:rPr>
        <w:t>1. Daily Divine Office</w:t>
      </w:r>
      <w:r w:rsidRPr="00FF62EC">
        <w:rPr>
          <w:rFonts w:ascii="Sylfaen" w:hAnsi="Sylfaen"/>
          <w:iCs/>
          <w:sz w:val="28"/>
          <w:szCs w:val="28"/>
        </w:rPr>
        <w:t xml:space="preserve">. </w:t>
      </w:r>
      <w:r w:rsidRPr="00FF62EC">
        <w:rPr>
          <w:rFonts w:ascii="Sylfaen" w:hAnsi="Sylfaen"/>
          <w:sz w:val="28"/>
          <w:szCs w:val="28"/>
        </w:rPr>
        <w:t xml:space="preserve">The Armenian Church has seven daily prayer hours based on the exhortation of Psalm 119.164: </w:t>
      </w:r>
      <w:r w:rsidRPr="00FF62EC">
        <w:rPr>
          <w:rFonts w:ascii="Sylfaen" w:hAnsi="Sylfaen"/>
          <w:i/>
          <w:iCs/>
          <w:sz w:val="28"/>
          <w:szCs w:val="28"/>
        </w:rPr>
        <w:t>“Seven times a day I praise you for your righteous ordinances.”</w:t>
      </w:r>
      <w:r w:rsidRPr="00FF62EC">
        <w:rPr>
          <w:rFonts w:ascii="Sylfaen" w:hAnsi="Sylfaen"/>
          <w:sz w:val="28"/>
          <w:szCs w:val="28"/>
        </w:rPr>
        <w:t xml:space="preserve"> The seven daily prayer hours are: </w:t>
      </w:r>
      <w:r w:rsidRPr="00FF62EC">
        <w:rPr>
          <w:rFonts w:ascii="Sylfaen" w:hAnsi="Sylfaen"/>
          <w:bCs/>
          <w:sz w:val="28"/>
          <w:szCs w:val="28"/>
        </w:rPr>
        <w:t>A) Night Hour or Vigils or Nocturnes; B) Morning Hour or Matins; C) Sunrise Hour or Prime; D) Midday Hour or Sext; E) Evening Hour or Vespers; F) Peace Hour; G) Rest Hour or Compline.</w:t>
      </w:r>
      <w:r w:rsidRPr="00FF62EC">
        <w:rPr>
          <w:rFonts w:ascii="Sylfaen" w:hAnsi="Sylfaen"/>
          <w:sz w:val="28"/>
          <w:szCs w:val="28"/>
        </w:rPr>
        <w:t xml:space="preserve"> These Daily Divine Offices were originally designed for monastic setting and presently are held alternatively in the Armenian monasteries and some parishes. They are offered in the nave of the Church.</w:t>
      </w:r>
    </w:p>
    <w:p w14:paraId="2ED81E5C"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b/>
          <w:bCs/>
          <w:iCs/>
          <w:sz w:val="28"/>
          <w:szCs w:val="28"/>
        </w:rPr>
        <w:lastRenderedPageBreak/>
        <w:t>2.</w:t>
      </w:r>
      <w:r w:rsidRPr="00FF62EC">
        <w:rPr>
          <w:rFonts w:ascii="Sylfaen" w:hAnsi="Sylfaen"/>
          <w:iCs/>
          <w:sz w:val="28"/>
          <w:szCs w:val="28"/>
        </w:rPr>
        <w:t xml:space="preserve"> </w:t>
      </w:r>
      <w:r w:rsidRPr="00FF62EC">
        <w:rPr>
          <w:rFonts w:ascii="Sylfaen" w:hAnsi="Sylfaen"/>
          <w:b/>
          <w:bCs/>
          <w:iCs/>
          <w:sz w:val="28"/>
          <w:szCs w:val="28"/>
        </w:rPr>
        <w:t>Ecclesiastical Feasts</w:t>
      </w:r>
      <w:r w:rsidRPr="00FF62EC">
        <w:rPr>
          <w:rFonts w:ascii="Sylfaen" w:hAnsi="Sylfaen"/>
          <w:iCs/>
          <w:sz w:val="28"/>
          <w:szCs w:val="28"/>
        </w:rPr>
        <w:t>.</w:t>
      </w:r>
      <w:r w:rsidRPr="00FF62EC">
        <w:rPr>
          <w:rFonts w:ascii="Sylfaen" w:hAnsi="Sylfaen"/>
          <w:i/>
          <w:sz w:val="28"/>
          <w:szCs w:val="28"/>
        </w:rPr>
        <w:t xml:space="preserve"> </w:t>
      </w:r>
      <w:r w:rsidRPr="00FF62EC">
        <w:rPr>
          <w:rFonts w:ascii="Sylfaen" w:hAnsi="Sylfaen"/>
          <w:sz w:val="28"/>
          <w:szCs w:val="28"/>
        </w:rPr>
        <w:t xml:space="preserve">All Sundays are dedicated to our Lord Jesus Christ and are called Dominical days. On Lord’s Day we affirm our identity as the people of God belonging to God and worshipping him because he is our God and has been gracious toward us. Every Sunday, during the Morning Hour, resurrection Gospel narratives are read and all the hymns are dedicated to the resurrection of our Savior. Celebrations of saints’ days are prohibited on Sundays. </w:t>
      </w:r>
    </w:p>
    <w:p w14:paraId="34116F90" w14:textId="77777777" w:rsidR="00AD60C4" w:rsidRPr="00FF62EC" w:rsidRDefault="00AD60C4" w:rsidP="00AD60C4">
      <w:pPr>
        <w:pStyle w:val="BodyText2"/>
        <w:spacing w:after="0" w:line="240" w:lineRule="auto"/>
        <w:jc w:val="both"/>
        <w:rPr>
          <w:rFonts w:ascii="Sylfaen" w:hAnsi="Sylfaen"/>
          <w:sz w:val="28"/>
          <w:szCs w:val="28"/>
        </w:rPr>
      </w:pPr>
    </w:p>
    <w:p w14:paraId="1BF1AD5F"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Ecclesiastical Feasts are of two types: </w:t>
      </w:r>
    </w:p>
    <w:p w14:paraId="2194E8FC"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bCs/>
          <w:sz w:val="28"/>
          <w:szCs w:val="28"/>
        </w:rPr>
        <w:t>A) Dominical days.</w:t>
      </w:r>
      <w:r w:rsidRPr="00FF62EC">
        <w:rPr>
          <w:rFonts w:ascii="Sylfaen" w:hAnsi="Sylfaen"/>
          <w:b/>
          <w:sz w:val="28"/>
          <w:szCs w:val="28"/>
        </w:rPr>
        <w:t xml:space="preserve"> </w:t>
      </w:r>
      <w:r w:rsidRPr="00FF62EC">
        <w:rPr>
          <w:rFonts w:ascii="Sylfaen" w:hAnsi="Sylfaen"/>
          <w:sz w:val="28"/>
          <w:szCs w:val="28"/>
        </w:rPr>
        <w:t xml:space="preserve">These are days on which events of the life of our Lord Jesus Christ are celebrated. In addition to this also days appointed in honor of the Holy Cross, the Church, the Holy Virgin and Pentecost are considered Dominical. There are about 140 Dominical days in the Church year celebrated either on Sunday or other days of the week except on Wednesdays and Fridays, e.g. Theophany and Nativity is celebrated on January 6; Ascension is celebrated on a Thursday, forty days following Easter. </w:t>
      </w:r>
    </w:p>
    <w:p w14:paraId="68BACC5C" w14:textId="77777777" w:rsidR="00AD60C4" w:rsidRPr="00FF62EC" w:rsidRDefault="00AD60C4" w:rsidP="00AD60C4">
      <w:pPr>
        <w:pStyle w:val="BodyText2"/>
        <w:spacing w:after="0" w:line="240" w:lineRule="auto"/>
        <w:jc w:val="both"/>
        <w:rPr>
          <w:rFonts w:ascii="Sylfaen" w:hAnsi="Sylfaen"/>
          <w:sz w:val="28"/>
          <w:szCs w:val="28"/>
        </w:rPr>
      </w:pPr>
    </w:p>
    <w:p w14:paraId="613EC3D4" w14:textId="77777777" w:rsidR="00AD60C4" w:rsidRPr="00FF62EC" w:rsidRDefault="00AD60C4" w:rsidP="00AD60C4">
      <w:pPr>
        <w:pStyle w:val="BodyText2"/>
        <w:spacing w:after="0" w:line="240" w:lineRule="auto"/>
        <w:jc w:val="both"/>
        <w:rPr>
          <w:rFonts w:ascii="Sylfaen" w:hAnsi="Sylfaen"/>
          <w:i/>
          <w:sz w:val="28"/>
          <w:szCs w:val="28"/>
        </w:rPr>
      </w:pPr>
      <w:r w:rsidRPr="00FF62EC">
        <w:rPr>
          <w:rFonts w:ascii="Sylfaen" w:hAnsi="Sylfaen"/>
          <w:bCs/>
          <w:sz w:val="28"/>
          <w:szCs w:val="28"/>
        </w:rPr>
        <w:t xml:space="preserve">B) Saints’ days. </w:t>
      </w:r>
      <w:r w:rsidRPr="00FF62EC">
        <w:rPr>
          <w:rFonts w:ascii="Sylfaen" w:hAnsi="Sylfaen"/>
          <w:sz w:val="28"/>
          <w:szCs w:val="28"/>
        </w:rPr>
        <w:t xml:space="preserve">These days are designated for the commemoration of saints, who have been recognized by the universal Church and Armenian Church as being pre-eminent for their holy life in piety and virtue or have given their life in witness to their Christian faith and for the furtherance of God’s Kingdom. There are about 128 days in a year dedicated to the commemoration of saints. These are not fixed dates because saints may be commemorated only on Mondays, Tuesdays, Thursdays and Saturdays. If a Dominical day falls on any of these days, then the commemoration of the saint will be shifted to some other day. Saints may not be commemorated on any of the five days, Monday to Friday, of a week of liturgical fasting. </w:t>
      </w:r>
    </w:p>
    <w:p w14:paraId="3FEB9720" w14:textId="77777777" w:rsidR="00AD60C4" w:rsidRPr="00FF62EC" w:rsidRDefault="00AD60C4" w:rsidP="00AD60C4">
      <w:pPr>
        <w:pStyle w:val="BodyText2"/>
        <w:spacing w:after="0" w:line="240" w:lineRule="auto"/>
        <w:ind w:left="720" w:hanging="720"/>
        <w:jc w:val="both"/>
        <w:rPr>
          <w:rFonts w:ascii="Sylfaen" w:hAnsi="Sylfaen"/>
          <w:sz w:val="28"/>
          <w:szCs w:val="28"/>
        </w:rPr>
      </w:pPr>
    </w:p>
    <w:p w14:paraId="4C116ACF" w14:textId="6DDA09F9"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Wednesdays and Fridays are </w:t>
      </w:r>
      <w:r w:rsidRPr="00FF62EC">
        <w:rPr>
          <w:rFonts w:ascii="Sylfaen" w:hAnsi="Sylfaen"/>
          <w:bCs/>
          <w:sz w:val="28"/>
          <w:szCs w:val="28"/>
        </w:rPr>
        <w:t>Days of Abstinence.</w:t>
      </w:r>
      <w:r w:rsidRPr="00FF62EC">
        <w:rPr>
          <w:rFonts w:ascii="Sylfaen" w:hAnsi="Sylfaen"/>
          <w:b/>
          <w:sz w:val="28"/>
          <w:szCs w:val="28"/>
        </w:rPr>
        <w:t xml:space="preserve"> </w:t>
      </w:r>
      <w:r w:rsidRPr="00FF62EC">
        <w:rPr>
          <w:rFonts w:ascii="Sylfaen" w:hAnsi="Sylfaen"/>
          <w:sz w:val="28"/>
          <w:szCs w:val="28"/>
        </w:rPr>
        <w:t xml:space="preserve">The character of the office during these two days of the week is penitential. Wednesdays are dedicated to the Annunciation and Incarnation, Fridays to the Crucifixion. In addition, there are six dietetic fasting weeks and the period of forty days of fasting of the Great </w:t>
      </w:r>
      <w:r w:rsidRPr="00FF62EC">
        <w:rPr>
          <w:rFonts w:ascii="Sylfaen" w:hAnsi="Sylfaen"/>
          <w:sz w:val="28"/>
          <w:szCs w:val="28"/>
        </w:rPr>
        <w:lastRenderedPageBreak/>
        <w:t>Lent. Great Lent is a season of intense prayer, fasting, penance, meditation and self-examination. There are about 150 days in a year put aside for fasting.</w:t>
      </w:r>
      <w:r w:rsidR="00AE343F">
        <w:rPr>
          <w:rStyle w:val="FootnoteReference"/>
          <w:rFonts w:ascii="Sylfaen" w:hAnsi="Sylfaen"/>
          <w:sz w:val="28"/>
          <w:szCs w:val="28"/>
        </w:rPr>
        <w:footnoteReference w:id="1"/>
      </w:r>
    </w:p>
    <w:p w14:paraId="533B6C47" w14:textId="77777777" w:rsidR="00AD60C4" w:rsidRPr="00FF62EC" w:rsidRDefault="00AD60C4" w:rsidP="00AD60C4">
      <w:pPr>
        <w:pStyle w:val="BodyText2"/>
        <w:spacing w:after="0" w:line="240" w:lineRule="auto"/>
        <w:jc w:val="both"/>
        <w:rPr>
          <w:rFonts w:ascii="Sylfaen" w:hAnsi="Sylfaen"/>
          <w:sz w:val="28"/>
          <w:szCs w:val="28"/>
        </w:rPr>
      </w:pPr>
    </w:p>
    <w:p w14:paraId="29B5BAE8" w14:textId="77777777" w:rsidR="00AD60C4" w:rsidRPr="00FF62EC" w:rsidRDefault="00AD60C4" w:rsidP="00AD60C4">
      <w:pPr>
        <w:pStyle w:val="BodyText2"/>
        <w:spacing w:after="0" w:line="240" w:lineRule="auto"/>
        <w:jc w:val="both"/>
        <w:rPr>
          <w:rFonts w:ascii="Sylfaen" w:hAnsi="Sylfaen"/>
          <w:bCs/>
          <w:sz w:val="28"/>
          <w:szCs w:val="28"/>
        </w:rPr>
      </w:pPr>
      <w:r w:rsidRPr="00FF62EC">
        <w:rPr>
          <w:rFonts w:ascii="Sylfaen" w:hAnsi="Sylfaen"/>
          <w:b/>
          <w:bCs/>
          <w:sz w:val="28"/>
          <w:szCs w:val="28"/>
        </w:rPr>
        <w:t xml:space="preserve">3. </w:t>
      </w:r>
      <w:r w:rsidRPr="00FF62EC">
        <w:rPr>
          <w:rFonts w:ascii="Sylfaen" w:hAnsi="Sylfaen"/>
          <w:b/>
          <w:bCs/>
          <w:iCs/>
          <w:sz w:val="28"/>
          <w:szCs w:val="28"/>
        </w:rPr>
        <w:t>Sacraments</w:t>
      </w:r>
      <w:r w:rsidRPr="00FF62EC">
        <w:rPr>
          <w:rFonts w:ascii="Sylfaen" w:hAnsi="Sylfaen"/>
          <w:iCs/>
          <w:sz w:val="28"/>
          <w:szCs w:val="28"/>
        </w:rPr>
        <w:t>.</w:t>
      </w:r>
      <w:r w:rsidRPr="00FF62EC">
        <w:rPr>
          <w:rFonts w:ascii="Sylfaen" w:hAnsi="Sylfaen"/>
          <w:i/>
          <w:sz w:val="28"/>
          <w:szCs w:val="28"/>
        </w:rPr>
        <w:t xml:space="preserve"> </w:t>
      </w:r>
      <w:r w:rsidRPr="00FF62EC">
        <w:rPr>
          <w:rFonts w:ascii="Sylfaen" w:hAnsi="Sylfaen"/>
          <w:sz w:val="28"/>
          <w:szCs w:val="28"/>
        </w:rPr>
        <w:t xml:space="preserve">The Armenian Orthodox Church has seven sacraments: </w:t>
      </w:r>
      <w:r w:rsidRPr="00FF62EC">
        <w:rPr>
          <w:rFonts w:ascii="Sylfaen" w:hAnsi="Sylfaen"/>
          <w:bCs/>
          <w:sz w:val="28"/>
          <w:szCs w:val="28"/>
        </w:rPr>
        <w:t>A) Baptism; B) Chrismation; C) Repentance; D) Holy Communion; E) Holy Matrimony; F) Ordination; G) Last Anointing.</w:t>
      </w:r>
    </w:p>
    <w:p w14:paraId="3BD02B53" w14:textId="77777777" w:rsidR="00AD60C4" w:rsidRPr="00FF62EC" w:rsidRDefault="00AD60C4" w:rsidP="00AD60C4">
      <w:pPr>
        <w:pStyle w:val="BodyText2"/>
        <w:spacing w:after="0" w:line="240" w:lineRule="auto"/>
        <w:jc w:val="both"/>
        <w:rPr>
          <w:rFonts w:ascii="Sylfaen" w:hAnsi="Sylfaen"/>
          <w:bCs/>
          <w:sz w:val="28"/>
          <w:szCs w:val="28"/>
        </w:rPr>
      </w:pPr>
    </w:p>
    <w:p w14:paraId="3C1AEF36"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b/>
          <w:bCs/>
          <w:sz w:val="28"/>
          <w:szCs w:val="28"/>
        </w:rPr>
        <w:t xml:space="preserve">4. </w:t>
      </w:r>
      <w:r w:rsidRPr="00FF62EC">
        <w:rPr>
          <w:rFonts w:ascii="Sylfaen" w:hAnsi="Sylfaen"/>
          <w:b/>
          <w:bCs/>
          <w:iCs/>
          <w:sz w:val="28"/>
          <w:szCs w:val="28"/>
        </w:rPr>
        <w:t>Holy Eucharist</w:t>
      </w:r>
      <w:r w:rsidRPr="00FF62EC">
        <w:rPr>
          <w:rFonts w:ascii="Sylfaen" w:hAnsi="Sylfaen"/>
          <w:i/>
          <w:sz w:val="28"/>
          <w:szCs w:val="28"/>
        </w:rPr>
        <w:t xml:space="preserve">. </w:t>
      </w:r>
      <w:r w:rsidRPr="00FF62EC">
        <w:rPr>
          <w:rFonts w:ascii="Sylfaen" w:hAnsi="Sylfaen"/>
          <w:sz w:val="28"/>
          <w:szCs w:val="28"/>
        </w:rPr>
        <w:t>Every Sunday and on other designated Dominical days Armenian faithful gather in churches to celebrate Holy Eucharist. On very special occasions it is permitted to celebrate Holy Eucharist outdoors, where an altar is erected and a consecrated rock-stone (‘vemkar’) is placed on which the chalice rests during the consecration.</w:t>
      </w:r>
    </w:p>
    <w:p w14:paraId="7057BF35" w14:textId="77777777" w:rsidR="00AD60C4" w:rsidRPr="00FF62EC" w:rsidRDefault="00AD60C4" w:rsidP="00AD60C4">
      <w:pPr>
        <w:pStyle w:val="BodyText2"/>
        <w:spacing w:after="0" w:line="240" w:lineRule="auto"/>
        <w:jc w:val="both"/>
        <w:rPr>
          <w:rFonts w:ascii="Sylfaen" w:hAnsi="Sylfaen"/>
          <w:sz w:val="28"/>
          <w:szCs w:val="28"/>
        </w:rPr>
      </w:pPr>
    </w:p>
    <w:p w14:paraId="714F573A"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Holy Eucharist is the high-point of worship in the Armenian Orthodox Church, in the sense that it underlines the Christological character of worship. Holy Eucharist is related directly to the events of the salvation history, because Christ gives his life for human beings and brings them to partake of that life by his sacrificial death and offering of his body and blood. This event does not pertain to the past only but becomes a life-generating experience in the present and the foretaste of the Kingdom of Heaven (Heb 12.28). </w:t>
      </w:r>
    </w:p>
    <w:p w14:paraId="0BD23965" w14:textId="77777777" w:rsidR="00AD60C4" w:rsidRPr="00FF62EC" w:rsidRDefault="00AD60C4" w:rsidP="00AD60C4">
      <w:pPr>
        <w:pStyle w:val="BodyText2"/>
        <w:spacing w:after="0" w:line="240" w:lineRule="auto"/>
        <w:jc w:val="both"/>
        <w:rPr>
          <w:rFonts w:ascii="Sylfaen" w:hAnsi="Sylfaen"/>
          <w:sz w:val="28"/>
          <w:szCs w:val="28"/>
        </w:rPr>
      </w:pPr>
    </w:p>
    <w:p w14:paraId="1AF08BC5" w14:textId="72F97960"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William R. Crockett defines this reality in the following statement: “The eucharist is neither a repetition of the sacrifice of the cross, nor simply a mental recollection of an event that took place 2,000 years ago. Through the eucharistic memorial, the sacrifice of the cross is made sacramentally present in order that we may participate in its redemptive reality in the present.”</w:t>
      </w:r>
      <w:r w:rsidR="00882A97">
        <w:rPr>
          <w:rStyle w:val="FootnoteReference"/>
          <w:rFonts w:ascii="Sylfaen" w:hAnsi="Sylfaen"/>
          <w:sz w:val="28"/>
          <w:szCs w:val="28"/>
        </w:rPr>
        <w:footnoteReference w:id="2"/>
      </w:r>
      <w:r w:rsidRPr="00FF62EC">
        <w:rPr>
          <w:rFonts w:ascii="Sylfaen" w:hAnsi="Sylfaen"/>
          <w:sz w:val="28"/>
          <w:szCs w:val="28"/>
        </w:rPr>
        <w:t xml:space="preserve"> This eschatological hope directs the faithful to have unconditional faith and total trust in Christ and to offer their gifts as a symbolic response and sacrifice to the self-offering of God. The Armenian literally translation of Holy Eucharist is Holy Sacrifice (‘Sourp Badarak’). Through grace, as the transforming power of the Holy Spirit, we enjoy </w:t>
      </w:r>
      <w:r w:rsidRPr="00FF62EC">
        <w:rPr>
          <w:rFonts w:ascii="Sylfaen" w:hAnsi="Sylfaen"/>
          <w:sz w:val="28"/>
          <w:szCs w:val="28"/>
        </w:rPr>
        <w:lastRenderedPageBreak/>
        <w:t>the heavenly reality in our earthly surroundings and limitations, take part in the communal worship and relate to the community of faith. Hence, in the presence of Christ Holy Eucharist embraces the whole creation and becomes the sacrament of love, thanksgiving, communion, unity and service.</w:t>
      </w:r>
    </w:p>
    <w:p w14:paraId="192EC143" w14:textId="77777777" w:rsidR="00AD60C4" w:rsidRPr="00FF62EC" w:rsidRDefault="00AD60C4" w:rsidP="00AD60C4">
      <w:pPr>
        <w:pStyle w:val="BodyText2"/>
        <w:spacing w:after="0" w:line="240" w:lineRule="auto"/>
        <w:jc w:val="both"/>
        <w:rPr>
          <w:rFonts w:ascii="Sylfaen" w:hAnsi="Sylfaen"/>
          <w:sz w:val="28"/>
          <w:szCs w:val="28"/>
        </w:rPr>
      </w:pPr>
    </w:p>
    <w:p w14:paraId="31B8DFC3" w14:textId="1A90AF46"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Henry Hill assesses Armenian Holy Liturgy with these words: “Armenian beliefs are richly embodied in the Holy Liturgy which opens with the words, ‘O mystery deep, inscrutable, without beginning … through the passion of thine holy only-begotten all creation hath been made immortal.’ Armenian worship takes place within its distinctive conical-topped churches, with the square altar mounted on a high stage or </w:t>
      </w:r>
      <w:r w:rsidRPr="00FF62EC">
        <w:rPr>
          <w:rFonts w:ascii="Sylfaen" w:hAnsi="Sylfaen"/>
          <w:i/>
          <w:sz w:val="28"/>
          <w:szCs w:val="28"/>
        </w:rPr>
        <w:t>bema</w:t>
      </w:r>
      <w:r w:rsidRPr="00FF62EC">
        <w:rPr>
          <w:rFonts w:ascii="Sylfaen" w:hAnsi="Sylfaen"/>
          <w:sz w:val="28"/>
          <w:szCs w:val="28"/>
        </w:rPr>
        <w:t>. The celebrant, wearing impressive and colourful vestments, is assisted by deacons with censers, acolytes, and singers. The congregation participate in the liturgy fully, sometimes lifting their hands, sometimes bowing low in reverence.”</w:t>
      </w:r>
      <w:r w:rsidR="00882A97">
        <w:rPr>
          <w:rStyle w:val="FootnoteReference"/>
          <w:rFonts w:ascii="Sylfaen" w:hAnsi="Sylfaen"/>
          <w:sz w:val="28"/>
          <w:szCs w:val="28"/>
        </w:rPr>
        <w:footnoteReference w:id="3"/>
      </w:r>
    </w:p>
    <w:p w14:paraId="1C6D0D11" w14:textId="77777777" w:rsidR="00AD60C4" w:rsidRPr="00FF62EC" w:rsidRDefault="00AD60C4" w:rsidP="00AD60C4">
      <w:pPr>
        <w:pStyle w:val="BodyText2"/>
        <w:spacing w:after="0" w:line="240" w:lineRule="auto"/>
        <w:jc w:val="both"/>
        <w:rPr>
          <w:rFonts w:ascii="Sylfaen" w:hAnsi="Sylfaen"/>
          <w:b/>
          <w:sz w:val="28"/>
          <w:szCs w:val="28"/>
        </w:rPr>
      </w:pPr>
    </w:p>
    <w:p w14:paraId="1E9AF4C2" w14:textId="77777777" w:rsidR="00AD60C4" w:rsidRPr="00FF62EC" w:rsidRDefault="00AD60C4" w:rsidP="00AD60C4">
      <w:pPr>
        <w:pStyle w:val="BodyText2"/>
        <w:spacing w:after="0" w:line="240" w:lineRule="auto"/>
        <w:jc w:val="both"/>
        <w:rPr>
          <w:rFonts w:ascii="Sylfaen" w:hAnsi="Sylfaen"/>
          <w:bCs/>
          <w:sz w:val="28"/>
          <w:szCs w:val="28"/>
        </w:rPr>
      </w:pPr>
      <w:r w:rsidRPr="00FF62EC">
        <w:rPr>
          <w:rFonts w:ascii="Sylfaen" w:hAnsi="Sylfaen"/>
          <w:b/>
          <w:bCs/>
          <w:iCs/>
          <w:sz w:val="28"/>
          <w:szCs w:val="28"/>
        </w:rPr>
        <w:t>5. Occasional Pious Customs</w:t>
      </w:r>
      <w:r w:rsidRPr="00FF62EC">
        <w:rPr>
          <w:rFonts w:ascii="Sylfaen" w:hAnsi="Sylfaen"/>
          <w:iCs/>
          <w:sz w:val="28"/>
          <w:szCs w:val="28"/>
        </w:rPr>
        <w:t>.</w:t>
      </w:r>
      <w:r w:rsidRPr="00FF62EC">
        <w:rPr>
          <w:rFonts w:ascii="Sylfaen" w:hAnsi="Sylfaen"/>
          <w:sz w:val="28"/>
          <w:szCs w:val="28"/>
        </w:rPr>
        <w:t xml:space="preserve"> In the Book of Rituals of the Armenian Orthodox Church there are services devised for special occasions and reflect the piety of the faithful. Here is a partial list of these services: </w:t>
      </w:r>
      <w:r w:rsidRPr="00FF62EC">
        <w:rPr>
          <w:rFonts w:ascii="Sylfaen" w:hAnsi="Sylfaen"/>
          <w:bCs/>
          <w:sz w:val="28"/>
          <w:szCs w:val="28"/>
        </w:rPr>
        <w:t>A) The blessing of the newborn before baptism; B) The canon of burial; C) The requiem service at the gravesite; D) The service of home blessing; E) The service of hair cutting of adolescents; F) The prayer for the sick; G) The order of confession; H) The blessing of the harvest.</w:t>
      </w:r>
    </w:p>
    <w:p w14:paraId="39AC7711" w14:textId="77777777" w:rsidR="00AD60C4" w:rsidRPr="00FF62EC" w:rsidRDefault="00AD60C4" w:rsidP="00AD60C4">
      <w:pPr>
        <w:pStyle w:val="BodyText2"/>
        <w:spacing w:after="0" w:line="240" w:lineRule="auto"/>
        <w:jc w:val="both"/>
        <w:rPr>
          <w:rFonts w:ascii="Sylfaen" w:hAnsi="Sylfaen"/>
          <w:sz w:val="28"/>
          <w:szCs w:val="28"/>
        </w:rPr>
      </w:pPr>
    </w:p>
    <w:p w14:paraId="286090AF"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b/>
          <w:bCs/>
          <w:sz w:val="28"/>
          <w:szCs w:val="28"/>
        </w:rPr>
        <w:t>6. Other Devotionals</w:t>
      </w:r>
      <w:r w:rsidRPr="00FF62EC">
        <w:rPr>
          <w:rFonts w:ascii="Sylfaen" w:hAnsi="Sylfaen"/>
          <w:i/>
          <w:sz w:val="28"/>
          <w:szCs w:val="28"/>
        </w:rPr>
        <w:t>.</w:t>
      </w:r>
      <w:r w:rsidRPr="00FF62EC">
        <w:rPr>
          <w:rFonts w:ascii="Sylfaen" w:hAnsi="Sylfaen"/>
          <w:sz w:val="28"/>
          <w:szCs w:val="28"/>
        </w:rPr>
        <w:t xml:space="preserve"> This part includes personal and family prayers, Sunday school and Christian education courses, morning prayers in the Armenian schools,</w:t>
      </w:r>
      <w:r w:rsidRPr="00FF62EC">
        <w:rPr>
          <w:rFonts w:ascii="Sylfaen" w:hAnsi="Sylfaen"/>
          <w:i/>
          <w:sz w:val="28"/>
          <w:szCs w:val="28"/>
        </w:rPr>
        <w:t xml:space="preserve"> </w:t>
      </w:r>
      <w:r w:rsidRPr="00FF62EC">
        <w:rPr>
          <w:rFonts w:ascii="Sylfaen" w:hAnsi="Sylfaen"/>
          <w:sz w:val="28"/>
          <w:szCs w:val="28"/>
        </w:rPr>
        <w:t>home prayer groups and many other expressions of worship that are not part of the rite of the Armenian Orthodox Church and do not take place in the churches but are in line with the Church’s teachings.</w:t>
      </w:r>
    </w:p>
    <w:p w14:paraId="1B9B4452" w14:textId="77777777" w:rsidR="00AD60C4" w:rsidRPr="00FF62EC" w:rsidRDefault="00AD60C4" w:rsidP="00AD60C4">
      <w:pPr>
        <w:pStyle w:val="BodyText2"/>
        <w:spacing w:after="0" w:line="240" w:lineRule="auto"/>
        <w:jc w:val="both"/>
        <w:rPr>
          <w:rFonts w:ascii="Sylfaen" w:hAnsi="Sylfaen"/>
          <w:i/>
          <w:sz w:val="28"/>
          <w:szCs w:val="28"/>
          <w:u w:val="single"/>
        </w:rPr>
      </w:pPr>
    </w:p>
    <w:p w14:paraId="2E98C0DA" w14:textId="77777777" w:rsidR="00AD60C4" w:rsidRPr="00FF62EC" w:rsidRDefault="00AD60C4" w:rsidP="00AD60C4">
      <w:pPr>
        <w:pStyle w:val="BodyText2"/>
        <w:numPr>
          <w:ilvl w:val="0"/>
          <w:numId w:val="2"/>
        </w:numPr>
        <w:spacing w:after="0" w:line="240" w:lineRule="auto"/>
        <w:jc w:val="both"/>
        <w:rPr>
          <w:rFonts w:ascii="Sylfaen" w:hAnsi="Sylfaen"/>
          <w:b/>
          <w:bCs/>
          <w:iCs/>
          <w:sz w:val="28"/>
          <w:szCs w:val="28"/>
        </w:rPr>
      </w:pPr>
      <w:r w:rsidRPr="00FF62EC">
        <w:rPr>
          <w:rFonts w:ascii="Sylfaen" w:hAnsi="Sylfaen"/>
          <w:b/>
          <w:bCs/>
          <w:iCs/>
          <w:sz w:val="28"/>
          <w:szCs w:val="28"/>
        </w:rPr>
        <w:t>Characteristics of the Armenian Worship</w:t>
      </w:r>
    </w:p>
    <w:p w14:paraId="352B347A"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The Armenian Orthodox Church’s deeply sacramental tradition of worship has ingredients common to all Christians in general and the Orthodox Churches in particular, but the following basic elements clearly indicate some of the </w:t>
      </w:r>
      <w:r w:rsidRPr="00FF62EC">
        <w:rPr>
          <w:rFonts w:ascii="Sylfaen" w:hAnsi="Sylfaen"/>
          <w:sz w:val="28"/>
          <w:szCs w:val="28"/>
        </w:rPr>
        <w:lastRenderedPageBreak/>
        <w:t xml:space="preserve">accentuated distinctions of Armenian worship, which is at the center of the Church’s life and activity: </w:t>
      </w:r>
    </w:p>
    <w:p w14:paraId="5588F885" w14:textId="77777777" w:rsidR="00AD60C4" w:rsidRPr="00FF62EC" w:rsidRDefault="00AD60C4" w:rsidP="00AD60C4">
      <w:pPr>
        <w:pStyle w:val="BodyText2"/>
        <w:spacing w:after="0" w:line="240" w:lineRule="auto"/>
        <w:jc w:val="both"/>
        <w:rPr>
          <w:rFonts w:ascii="Sylfaen" w:hAnsi="Sylfaen"/>
          <w:sz w:val="28"/>
          <w:szCs w:val="28"/>
        </w:rPr>
      </w:pPr>
    </w:p>
    <w:p w14:paraId="02B2FC1C" w14:textId="27BA133C" w:rsidR="00AD60C4" w:rsidRPr="00FF62EC" w:rsidRDefault="00AD60C4" w:rsidP="00AD60C4">
      <w:pPr>
        <w:pStyle w:val="BodyText2"/>
        <w:numPr>
          <w:ilvl w:val="0"/>
          <w:numId w:val="1"/>
        </w:numPr>
        <w:spacing w:after="0" w:line="240" w:lineRule="auto"/>
        <w:ind w:left="0" w:firstLine="0"/>
        <w:jc w:val="both"/>
        <w:rPr>
          <w:rFonts w:ascii="Sylfaen" w:hAnsi="Sylfaen"/>
          <w:sz w:val="28"/>
          <w:szCs w:val="28"/>
        </w:rPr>
      </w:pPr>
      <w:r w:rsidRPr="00FF62EC">
        <w:rPr>
          <w:rFonts w:ascii="Sylfaen" w:hAnsi="Sylfaen"/>
          <w:b/>
          <w:sz w:val="28"/>
          <w:szCs w:val="28"/>
        </w:rPr>
        <w:t>Worship, theology and doctrine.</w:t>
      </w:r>
      <w:r w:rsidRPr="00FF62EC">
        <w:rPr>
          <w:rFonts w:ascii="Sylfaen" w:hAnsi="Sylfaen"/>
          <w:sz w:val="28"/>
          <w:szCs w:val="28"/>
        </w:rPr>
        <w:t xml:space="preserve"> Rich worship is founded on the clear theology and doctrine of the Armenian Orthodox Church. This interconnection of worship and dogma is reflected in the creeds and confessions of faith recited during church services, orienting the faithful towards God. It is interesting to note that celebrant bishops proclaim their Orthodox faith at the beginning of the morning service, after denouncing Satan and before publicly confessing their sins. In the context of worship theological reflection becomes a constant reminder of the dynamic participation and the moving experience of being enriched by the Orthodox faith. Paul Meyendorff rightly notes: “But Eastern worship, just as Western, expresses the faith, culture and spirituality of a given ecclesial body, its understanding of orders, its approach to tradition.”</w:t>
      </w:r>
      <w:r w:rsidR="00D10951">
        <w:rPr>
          <w:rStyle w:val="FootnoteReference"/>
          <w:rFonts w:ascii="Sylfaen" w:hAnsi="Sylfaen"/>
          <w:sz w:val="28"/>
          <w:szCs w:val="28"/>
        </w:rPr>
        <w:footnoteReference w:id="4"/>
      </w:r>
      <w:r w:rsidRPr="00FF62EC">
        <w:rPr>
          <w:rFonts w:ascii="Sylfaen" w:hAnsi="Sylfaen"/>
          <w:sz w:val="28"/>
          <w:szCs w:val="28"/>
        </w:rPr>
        <w:tab/>
      </w:r>
    </w:p>
    <w:p w14:paraId="404BC016" w14:textId="77777777" w:rsidR="00EA3AF9" w:rsidRDefault="00EA3AF9" w:rsidP="00AD60C4">
      <w:pPr>
        <w:pStyle w:val="BodyText2"/>
        <w:spacing w:after="0" w:line="240" w:lineRule="auto"/>
        <w:jc w:val="both"/>
        <w:rPr>
          <w:rFonts w:ascii="Sylfaen" w:hAnsi="Sylfaen"/>
          <w:sz w:val="28"/>
          <w:szCs w:val="28"/>
        </w:rPr>
      </w:pPr>
    </w:p>
    <w:p w14:paraId="277E5FF7" w14:textId="2930FAE2"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 xml:space="preserve">In his first encyclical St. Nerses Shnorhali addresses “the entire Armenian nation whose welfare was entrusted to him by the Lord” as Catholicos and underlines faith as the prerequisite for Christian worship and service, and says: “Now the head is primary and most honored among members of the body because of its elevated position and the existence of the senses in it, and it is succeeded by the other members one by one. In the same way among the faculties of the soul the greatest and primary is the truth of faith which brings forth great and small works of righteousness according to God’s commandments. For this reason, first of all, we emphatically place faith before you as the primary good. We are not writing anything new but are making a summary based on the writings of the apostles, prophets and holy fathers. We do this that you may not stray from the truth into the ignorance of the unlearned by listening to words which are not in keeping with the confession of the orthodox church, but which are outside the Holy Scriptures and lead to the destruction of the hearer. You should know in whom you believed on the day of baptism, as Paul says, </w:t>
      </w:r>
      <w:r w:rsidRPr="00FF62EC">
        <w:rPr>
          <w:rFonts w:ascii="Sylfaen" w:hAnsi="Sylfaen"/>
          <w:i/>
          <w:iCs/>
          <w:sz w:val="28"/>
          <w:szCs w:val="28"/>
        </w:rPr>
        <w:t>“I know in whom I have believed”</w:t>
      </w:r>
      <w:r w:rsidRPr="00FF62EC">
        <w:rPr>
          <w:rFonts w:ascii="Sylfaen" w:hAnsi="Sylfaen"/>
          <w:sz w:val="28"/>
          <w:szCs w:val="28"/>
        </w:rPr>
        <w:t xml:space="preserve"> (II Tim 1.12). It is indeed worthy to hold the confession of faith of the </w:t>
      </w:r>
      <w:r w:rsidRPr="00FF62EC">
        <w:rPr>
          <w:rFonts w:ascii="Sylfaen" w:hAnsi="Sylfaen"/>
          <w:sz w:val="28"/>
          <w:szCs w:val="28"/>
        </w:rPr>
        <w:lastRenderedPageBreak/>
        <w:t>orthodox Christian, in which we begin in simple and plain words to show the truth of our faith.”</w:t>
      </w:r>
      <w:r w:rsidR="003B0CBC">
        <w:rPr>
          <w:rStyle w:val="FootnoteReference"/>
          <w:rFonts w:ascii="Sylfaen" w:hAnsi="Sylfaen"/>
          <w:sz w:val="28"/>
          <w:szCs w:val="28"/>
        </w:rPr>
        <w:footnoteReference w:id="5"/>
      </w:r>
    </w:p>
    <w:p w14:paraId="36345D80" w14:textId="77777777" w:rsidR="00AD60C4" w:rsidRPr="00FF62EC" w:rsidRDefault="00AD60C4" w:rsidP="00AD60C4">
      <w:pPr>
        <w:pStyle w:val="BodyText2"/>
        <w:spacing w:after="0" w:line="240" w:lineRule="auto"/>
        <w:jc w:val="both"/>
        <w:rPr>
          <w:rFonts w:ascii="Sylfaen" w:hAnsi="Sylfaen"/>
          <w:sz w:val="28"/>
          <w:szCs w:val="28"/>
        </w:rPr>
      </w:pPr>
    </w:p>
    <w:p w14:paraId="11F3CF05" w14:textId="77777777" w:rsidR="00AD60C4" w:rsidRPr="00FF62EC" w:rsidRDefault="00AD60C4" w:rsidP="00AD60C4">
      <w:pPr>
        <w:pStyle w:val="BodyText2"/>
        <w:numPr>
          <w:ilvl w:val="0"/>
          <w:numId w:val="1"/>
        </w:numPr>
        <w:spacing w:after="0" w:line="240" w:lineRule="auto"/>
        <w:ind w:left="0" w:firstLine="0"/>
        <w:jc w:val="both"/>
        <w:rPr>
          <w:rFonts w:ascii="Sylfaen" w:hAnsi="Sylfaen"/>
          <w:sz w:val="28"/>
          <w:szCs w:val="28"/>
        </w:rPr>
      </w:pPr>
      <w:r w:rsidRPr="00FF62EC">
        <w:rPr>
          <w:rFonts w:ascii="Sylfaen" w:hAnsi="Sylfaen"/>
          <w:b/>
          <w:sz w:val="28"/>
          <w:szCs w:val="28"/>
        </w:rPr>
        <w:t xml:space="preserve">Worship and Christian education. </w:t>
      </w:r>
      <w:r w:rsidRPr="00FF62EC">
        <w:rPr>
          <w:rFonts w:ascii="Sylfaen" w:hAnsi="Sylfaen"/>
          <w:sz w:val="28"/>
          <w:szCs w:val="28"/>
        </w:rPr>
        <w:t xml:space="preserve">Words, music, symbols, and movements of the worship are tools for Christian formation and discipleship. For Armenians worship begins at home and extends to the church where we are incorporated into a caring and nurturing community of faith. In order to offer an appropriate worship and to educate its faithful in the tenants of the Christian faith, the Armenian Orthodox Church needs to make worship more practical, pleasant, comprehensive and non-boring. We can be inspired to worship God only if we can fully understand what is happening during our communal worship. To achieve this, the Armenian Church needs to be more flexible and spontaneous and to substitute as much as possible the usage of modern Armenian to classical Armenian, to reduce the duration of services, to take more care of the majesty of the sanctuary and the aesthetic details of the rituals, to make the reading and preaching of the Word of God more related to contemporary issues, and to secure the full participation of the believers. </w:t>
      </w:r>
    </w:p>
    <w:p w14:paraId="5159AC49" w14:textId="77777777" w:rsidR="00AD60C4" w:rsidRPr="00FF62EC" w:rsidRDefault="00AD60C4" w:rsidP="00AD60C4">
      <w:pPr>
        <w:pStyle w:val="BodyText2"/>
        <w:spacing w:after="0" w:line="240" w:lineRule="auto"/>
        <w:jc w:val="both"/>
        <w:rPr>
          <w:rFonts w:ascii="Sylfaen" w:hAnsi="Sylfaen"/>
          <w:sz w:val="28"/>
          <w:szCs w:val="28"/>
        </w:rPr>
      </w:pPr>
    </w:p>
    <w:p w14:paraId="78335292" w14:textId="678DECF2" w:rsidR="00AD60C4" w:rsidRPr="00FF62EC" w:rsidRDefault="00AD60C4" w:rsidP="00AD60C4">
      <w:pPr>
        <w:pStyle w:val="BodyText2"/>
        <w:numPr>
          <w:ilvl w:val="0"/>
          <w:numId w:val="1"/>
        </w:numPr>
        <w:spacing w:after="0" w:line="240" w:lineRule="auto"/>
        <w:ind w:left="0" w:firstLine="0"/>
        <w:jc w:val="both"/>
        <w:rPr>
          <w:rFonts w:ascii="Sylfaen" w:hAnsi="Sylfaen"/>
          <w:sz w:val="28"/>
          <w:szCs w:val="28"/>
        </w:rPr>
      </w:pPr>
      <w:r w:rsidRPr="00FF62EC">
        <w:rPr>
          <w:rFonts w:ascii="Sylfaen" w:hAnsi="Sylfaen"/>
          <w:b/>
          <w:sz w:val="28"/>
          <w:szCs w:val="28"/>
        </w:rPr>
        <w:t xml:space="preserve">Worship and mystical elements. </w:t>
      </w:r>
      <w:r w:rsidRPr="00FF62EC">
        <w:rPr>
          <w:rFonts w:ascii="Sylfaen" w:hAnsi="Sylfaen"/>
          <w:sz w:val="28"/>
          <w:szCs w:val="28"/>
        </w:rPr>
        <w:t xml:space="preserve">Ordered, canonical and diverse rituals of the Armenian Orthodox Church reflect the mysterious relationship between human beings and God. A sense of awe, reverence and transcendence in the presence of the triune God and mysteries of faith are constantly stressed in the prayers, hymns and gestures of worship, and especially in the celebration of the Holy Eucharist. In </w:t>
      </w:r>
      <w:r w:rsidRPr="00FF62EC">
        <w:rPr>
          <w:rFonts w:ascii="Sylfaen" w:hAnsi="Sylfaen"/>
          <w:i/>
          <w:sz w:val="28"/>
          <w:szCs w:val="28"/>
        </w:rPr>
        <w:t>The Study of Liturgy</w:t>
      </w:r>
      <w:r w:rsidRPr="00FF62EC">
        <w:rPr>
          <w:rFonts w:ascii="Sylfaen" w:hAnsi="Sylfaen"/>
          <w:sz w:val="28"/>
          <w:szCs w:val="28"/>
        </w:rPr>
        <w:t>, this is referred to as “the paschal mystery” and according to New Testament sources it exists on three levels: A) God ‘dwelling in light inaccessible’ (I Tim 6.16); B) In the historical order; C) In the liturgy.</w:t>
      </w:r>
      <w:r w:rsidR="0047059B">
        <w:rPr>
          <w:rStyle w:val="FootnoteReference"/>
          <w:rFonts w:ascii="Sylfaen" w:hAnsi="Sylfaen"/>
          <w:sz w:val="28"/>
          <w:szCs w:val="28"/>
        </w:rPr>
        <w:footnoteReference w:id="6"/>
      </w:r>
    </w:p>
    <w:p w14:paraId="63F39403" w14:textId="77777777" w:rsidR="00AD60C4" w:rsidRPr="00FF62EC" w:rsidRDefault="00AD60C4" w:rsidP="00AD60C4">
      <w:pPr>
        <w:pStyle w:val="BodyText2"/>
        <w:spacing w:after="0" w:line="240" w:lineRule="auto"/>
        <w:jc w:val="both"/>
        <w:rPr>
          <w:rFonts w:ascii="Sylfaen" w:hAnsi="Sylfaen"/>
          <w:sz w:val="28"/>
          <w:szCs w:val="28"/>
        </w:rPr>
      </w:pPr>
    </w:p>
    <w:p w14:paraId="1282235D" w14:textId="09A18A5A" w:rsidR="00AD60C4" w:rsidRPr="00FF62EC" w:rsidRDefault="00AD60C4" w:rsidP="00AD60C4">
      <w:pPr>
        <w:pStyle w:val="BodyText2"/>
        <w:numPr>
          <w:ilvl w:val="0"/>
          <w:numId w:val="1"/>
        </w:numPr>
        <w:spacing w:after="0" w:line="240" w:lineRule="auto"/>
        <w:ind w:left="0" w:firstLine="0"/>
        <w:jc w:val="both"/>
        <w:rPr>
          <w:rFonts w:ascii="Sylfaen" w:hAnsi="Sylfaen"/>
          <w:sz w:val="28"/>
          <w:szCs w:val="28"/>
        </w:rPr>
      </w:pPr>
      <w:r w:rsidRPr="00FF62EC">
        <w:rPr>
          <w:rFonts w:ascii="Sylfaen" w:hAnsi="Sylfaen"/>
          <w:b/>
          <w:sz w:val="28"/>
          <w:szCs w:val="28"/>
        </w:rPr>
        <w:t xml:space="preserve">Worship and hymns. </w:t>
      </w:r>
      <w:r w:rsidRPr="00FF62EC">
        <w:rPr>
          <w:rFonts w:ascii="Sylfaen" w:hAnsi="Sylfaen"/>
          <w:sz w:val="28"/>
          <w:szCs w:val="28"/>
        </w:rPr>
        <w:t>Hymns, as songs of praise, adoration and confession in honor of God or a saint, are very significant in the order of worship. The Armenian Orthodox Church is a singing Church and since the 4</w:t>
      </w:r>
      <w:r w:rsidRPr="00FF62EC">
        <w:rPr>
          <w:rFonts w:ascii="Sylfaen" w:hAnsi="Sylfaen"/>
          <w:sz w:val="28"/>
          <w:szCs w:val="28"/>
          <w:vertAlign w:val="superscript"/>
        </w:rPr>
        <w:t>th</w:t>
      </w:r>
      <w:r w:rsidRPr="00FF62EC">
        <w:rPr>
          <w:rFonts w:ascii="Sylfaen" w:hAnsi="Sylfaen"/>
          <w:sz w:val="28"/>
          <w:szCs w:val="28"/>
        </w:rPr>
        <w:t xml:space="preserve"> century up to </w:t>
      </w:r>
      <w:r w:rsidRPr="00FF62EC">
        <w:rPr>
          <w:rFonts w:ascii="Sylfaen" w:hAnsi="Sylfaen"/>
          <w:sz w:val="28"/>
          <w:szCs w:val="28"/>
        </w:rPr>
        <w:lastRenderedPageBreak/>
        <w:t>this day composition of hymns has been a prevalent feature. The Armenian Orthodox Church is distinguished with many hymns that are dedicated to canonized national heroes. In the preface of the Armenian Church Hymnbook of 1838, Nerses of Lambron refers to the impact of Church music, and writes: “It awakens all minds to yearn for grace because there is nothing else that can stimulate our will with happiness or sadness except the music of properly sung hymns.”</w:t>
      </w:r>
      <w:r w:rsidR="0060370E">
        <w:rPr>
          <w:rStyle w:val="FootnoteReference"/>
          <w:rFonts w:ascii="Sylfaen" w:hAnsi="Sylfaen"/>
          <w:sz w:val="28"/>
          <w:szCs w:val="28"/>
        </w:rPr>
        <w:footnoteReference w:id="7"/>
      </w:r>
    </w:p>
    <w:p w14:paraId="25936C52" w14:textId="77777777" w:rsidR="00AD60C4" w:rsidRPr="00FF62EC" w:rsidRDefault="00AD60C4" w:rsidP="00AD60C4">
      <w:pPr>
        <w:pStyle w:val="BodyText2"/>
        <w:spacing w:after="0" w:line="240" w:lineRule="auto"/>
        <w:jc w:val="both"/>
        <w:rPr>
          <w:rFonts w:ascii="Sylfaen" w:hAnsi="Sylfaen"/>
          <w:b/>
          <w:sz w:val="28"/>
          <w:szCs w:val="28"/>
        </w:rPr>
      </w:pPr>
    </w:p>
    <w:p w14:paraId="23AF4ED9" w14:textId="040B77A3" w:rsidR="00AD60C4" w:rsidRPr="00FF62EC" w:rsidRDefault="00AD60C4" w:rsidP="00AD60C4">
      <w:pPr>
        <w:pStyle w:val="BodyText2"/>
        <w:numPr>
          <w:ilvl w:val="0"/>
          <w:numId w:val="1"/>
        </w:numPr>
        <w:tabs>
          <w:tab w:val="clear" w:pos="360"/>
          <w:tab w:val="left" w:pos="284"/>
        </w:tabs>
        <w:spacing w:after="0" w:line="240" w:lineRule="auto"/>
        <w:ind w:left="0" w:firstLine="0"/>
        <w:jc w:val="both"/>
        <w:rPr>
          <w:rFonts w:ascii="Sylfaen" w:hAnsi="Sylfaen"/>
          <w:sz w:val="28"/>
          <w:szCs w:val="28"/>
        </w:rPr>
      </w:pPr>
      <w:r w:rsidRPr="00FF62EC">
        <w:rPr>
          <w:rFonts w:ascii="Sylfaen" w:hAnsi="Sylfaen"/>
          <w:b/>
          <w:sz w:val="28"/>
          <w:szCs w:val="28"/>
        </w:rPr>
        <w:t>Worship and service.</w:t>
      </w:r>
      <w:r w:rsidRPr="00FF62EC">
        <w:rPr>
          <w:rFonts w:ascii="Sylfaen" w:hAnsi="Sylfaen"/>
          <w:sz w:val="28"/>
          <w:szCs w:val="28"/>
        </w:rPr>
        <w:t xml:space="preserve"> In worship the Armenian faithful feel that they are called to serve, to spread out the Gospel and to reach out to the needs of their community. Henry Hill sums up this aspect of worship by stating: “At the heart of every Armenian community is the parish church and centre: the focus not only for rites of passage and spiritual sustenance but of social life as well. The Armenian people, whether in the homeland or in the diaspora, are held together as a family by their participation in the activities of the local Church.”</w:t>
      </w:r>
      <w:r w:rsidR="0060370E">
        <w:rPr>
          <w:rStyle w:val="FootnoteReference"/>
          <w:rFonts w:ascii="Sylfaen" w:hAnsi="Sylfaen"/>
          <w:sz w:val="28"/>
          <w:szCs w:val="28"/>
        </w:rPr>
        <w:footnoteReference w:id="8"/>
      </w:r>
      <w:r w:rsidRPr="00FF62EC">
        <w:rPr>
          <w:rFonts w:ascii="Sylfaen" w:hAnsi="Sylfaen"/>
          <w:sz w:val="28"/>
          <w:szCs w:val="28"/>
        </w:rPr>
        <w:t xml:space="preserve"> </w:t>
      </w:r>
    </w:p>
    <w:p w14:paraId="17709222" w14:textId="77777777" w:rsidR="00AD60C4" w:rsidRPr="00FF62EC" w:rsidRDefault="00AD60C4" w:rsidP="00AD60C4">
      <w:pPr>
        <w:pStyle w:val="BodyText2"/>
        <w:spacing w:after="0" w:line="240" w:lineRule="auto"/>
        <w:jc w:val="both"/>
        <w:rPr>
          <w:rFonts w:ascii="Sylfaen" w:hAnsi="Sylfaen"/>
          <w:sz w:val="28"/>
          <w:szCs w:val="28"/>
        </w:rPr>
      </w:pPr>
    </w:p>
    <w:p w14:paraId="54A2D7C6" w14:textId="5279ECD5" w:rsidR="00AD60C4" w:rsidRPr="00FF62EC" w:rsidRDefault="00AD60C4" w:rsidP="00AD60C4">
      <w:pPr>
        <w:pStyle w:val="BodyText2"/>
        <w:numPr>
          <w:ilvl w:val="0"/>
          <w:numId w:val="1"/>
        </w:numPr>
        <w:tabs>
          <w:tab w:val="clear" w:pos="360"/>
          <w:tab w:val="num" w:pos="0"/>
          <w:tab w:val="left" w:pos="284"/>
        </w:tabs>
        <w:spacing w:after="0" w:line="240" w:lineRule="auto"/>
        <w:ind w:left="0" w:firstLine="0"/>
        <w:jc w:val="both"/>
        <w:rPr>
          <w:rFonts w:ascii="Sylfaen" w:hAnsi="Sylfaen"/>
          <w:sz w:val="28"/>
          <w:szCs w:val="28"/>
        </w:rPr>
      </w:pPr>
      <w:r w:rsidRPr="00FF62EC">
        <w:rPr>
          <w:rFonts w:ascii="Sylfaen" w:hAnsi="Sylfaen"/>
          <w:b/>
          <w:sz w:val="28"/>
          <w:szCs w:val="28"/>
        </w:rPr>
        <w:t xml:space="preserve">Worshipper as witness. </w:t>
      </w:r>
      <w:r w:rsidRPr="00FF62EC">
        <w:rPr>
          <w:rFonts w:ascii="Sylfaen" w:hAnsi="Sylfaen"/>
          <w:sz w:val="28"/>
          <w:szCs w:val="28"/>
        </w:rPr>
        <w:t>The Greek word for witness is martyr. Martyrs are saints who have sacrificed their lives to bear witness to their Christian faith. The Armenian worshipper is not a spectator but a witness to and partaker in the salvation history as well as an active participant in offering himself or herself to God, always remembering that the witness/martyr par excellence remains Jesus Christ. With the words of Aidan Kavanagh: “By grace, faith, and sacrament, the Church is the fullness of him who is the fullness of the Godhead bodily. If the incarnation of the Logos was God enhumaned, the Church is God in Christ enworlded.”</w:t>
      </w:r>
      <w:r w:rsidR="008C46A2">
        <w:rPr>
          <w:rStyle w:val="FootnoteReference"/>
          <w:rFonts w:ascii="Sylfaen" w:hAnsi="Sylfaen"/>
          <w:sz w:val="28"/>
          <w:szCs w:val="28"/>
        </w:rPr>
        <w:footnoteReference w:id="9"/>
      </w:r>
    </w:p>
    <w:p w14:paraId="063CB454" w14:textId="77777777" w:rsidR="00AD60C4" w:rsidRPr="00FF62EC" w:rsidRDefault="00AD60C4" w:rsidP="00AD60C4">
      <w:pPr>
        <w:pStyle w:val="BodyText2"/>
        <w:spacing w:after="0" w:line="240" w:lineRule="auto"/>
        <w:jc w:val="both"/>
        <w:rPr>
          <w:rFonts w:ascii="Sylfaen" w:hAnsi="Sylfaen"/>
          <w:sz w:val="28"/>
          <w:szCs w:val="28"/>
        </w:rPr>
      </w:pPr>
    </w:p>
    <w:p w14:paraId="61DEB57C" w14:textId="77777777" w:rsidR="00AD60C4" w:rsidRPr="00FF62EC" w:rsidRDefault="00AD60C4" w:rsidP="00AD60C4">
      <w:pPr>
        <w:pStyle w:val="BodyText2"/>
        <w:tabs>
          <w:tab w:val="left" w:pos="284"/>
        </w:tabs>
        <w:spacing w:after="0" w:line="240" w:lineRule="auto"/>
        <w:jc w:val="both"/>
        <w:rPr>
          <w:rFonts w:ascii="Sylfaen" w:hAnsi="Sylfaen"/>
          <w:sz w:val="28"/>
          <w:szCs w:val="28"/>
        </w:rPr>
      </w:pPr>
      <w:r w:rsidRPr="00FF62EC">
        <w:rPr>
          <w:rFonts w:ascii="Sylfaen" w:hAnsi="Sylfaen"/>
          <w:bCs/>
          <w:sz w:val="28"/>
          <w:szCs w:val="28"/>
        </w:rPr>
        <w:t>G)</w:t>
      </w:r>
      <w:r w:rsidRPr="00FF62EC">
        <w:rPr>
          <w:rFonts w:ascii="Sylfaen" w:hAnsi="Sylfaen"/>
          <w:b/>
          <w:sz w:val="28"/>
          <w:szCs w:val="28"/>
        </w:rPr>
        <w:t xml:space="preserve"> The role of clergy in worship. </w:t>
      </w:r>
      <w:r w:rsidRPr="00FF62EC">
        <w:rPr>
          <w:rFonts w:ascii="Sylfaen" w:hAnsi="Sylfaen"/>
          <w:sz w:val="28"/>
          <w:szCs w:val="28"/>
        </w:rPr>
        <w:t xml:space="preserve">The established order of worship –Scriptural passages, prayers, music, symbols, vestments, movements, fellowship and many other elements– creates the perfect atmosphere for the worshipping Church, who gather under the leadership of the clergy. As consecrated ministers of the Church, priests administer the sacraments. God is the source of grace and priests </w:t>
      </w:r>
      <w:r w:rsidRPr="00FF62EC">
        <w:rPr>
          <w:rFonts w:ascii="Sylfaen" w:hAnsi="Sylfaen"/>
          <w:sz w:val="28"/>
          <w:szCs w:val="28"/>
        </w:rPr>
        <w:lastRenderedPageBreak/>
        <w:t xml:space="preserve">are only his servants and channels of communication between him and human beings. </w:t>
      </w:r>
    </w:p>
    <w:p w14:paraId="37E52E03" w14:textId="77777777" w:rsidR="00AD60C4" w:rsidRPr="00FF62EC" w:rsidRDefault="00AD60C4" w:rsidP="00AD60C4">
      <w:pPr>
        <w:pStyle w:val="BodyText2"/>
        <w:spacing w:after="0" w:line="240" w:lineRule="auto"/>
        <w:jc w:val="both"/>
        <w:rPr>
          <w:rFonts w:ascii="Sylfaen" w:hAnsi="Sylfaen"/>
          <w:sz w:val="28"/>
          <w:szCs w:val="28"/>
        </w:rPr>
      </w:pPr>
    </w:p>
    <w:p w14:paraId="6E230C5E" w14:textId="77777777" w:rsidR="00AD60C4" w:rsidRPr="00FF62EC" w:rsidRDefault="00AD60C4" w:rsidP="00AD60C4">
      <w:pPr>
        <w:pStyle w:val="BodyText2"/>
        <w:spacing w:after="0" w:line="240" w:lineRule="auto"/>
        <w:jc w:val="center"/>
        <w:rPr>
          <w:rFonts w:ascii="Sylfaen" w:hAnsi="Sylfaen"/>
          <w:sz w:val="28"/>
          <w:szCs w:val="28"/>
        </w:rPr>
      </w:pPr>
      <w:r w:rsidRPr="00FF62EC">
        <w:rPr>
          <w:rFonts w:ascii="Sylfaen" w:hAnsi="Sylfaen"/>
          <w:sz w:val="28"/>
          <w:szCs w:val="28"/>
        </w:rPr>
        <w:t>* * *</w:t>
      </w:r>
    </w:p>
    <w:p w14:paraId="519E65D6" w14:textId="77777777" w:rsidR="00AD60C4" w:rsidRPr="00FF62EC" w:rsidRDefault="00AD60C4" w:rsidP="00AD60C4">
      <w:pPr>
        <w:pStyle w:val="BodyText2"/>
        <w:spacing w:after="0" w:line="240" w:lineRule="auto"/>
        <w:jc w:val="both"/>
        <w:rPr>
          <w:rFonts w:ascii="Sylfaen" w:hAnsi="Sylfaen"/>
          <w:sz w:val="28"/>
          <w:szCs w:val="28"/>
        </w:rPr>
      </w:pPr>
    </w:p>
    <w:p w14:paraId="44B5ADF7" w14:textId="7FBD0F29"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The ecumenical movement enables the churches to come closer to each other and pursue the visible unity of the one, catholic, apostolic and holy Church. According to Malachia Ormanian, worship plays a pivotal role in this respect, because “The purpose of ritual is to cultivate the hearts of the faithful in an orderly and effectual manner to praise God, ignite their emotions and intensify their services.”</w:t>
      </w:r>
      <w:r w:rsidR="008C46A2">
        <w:rPr>
          <w:rStyle w:val="FootnoteReference"/>
          <w:rFonts w:ascii="Sylfaen" w:hAnsi="Sylfaen"/>
          <w:sz w:val="28"/>
          <w:szCs w:val="28"/>
        </w:rPr>
        <w:footnoteReference w:id="10"/>
      </w:r>
      <w:r w:rsidR="008C46A2">
        <w:rPr>
          <w:rFonts w:ascii="Sylfaen" w:hAnsi="Sylfaen"/>
          <w:sz w:val="28"/>
          <w:szCs w:val="28"/>
        </w:rPr>
        <w:t xml:space="preserve"> </w:t>
      </w:r>
      <w:r w:rsidRPr="00FF62EC">
        <w:rPr>
          <w:rFonts w:ascii="Sylfaen" w:hAnsi="Sylfaen"/>
          <w:sz w:val="28"/>
          <w:szCs w:val="28"/>
        </w:rPr>
        <w:t>And he goes on, albeit with some exaggeration: “From the perspective of worship, Church unity lies in the fundamental and basic tenets that the Church inherited from the apostolic times. It is understandable that changes occur due to local requirements, but the basics should remain unchanged. Among all the churches, the Armenian Church is the most loyal follower of the oldest order of worship and rejecter of modernism. In this respect the Armenian Church is incomparable to other churches. Therefore, the rituals, ceremonies and moral laws of the Armenian Church have rightfully been considered models for original orders.”</w:t>
      </w:r>
      <w:r w:rsidR="008C46A2">
        <w:rPr>
          <w:rStyle w:val="FootnoteReference"/>
          <w:rFonts w:ascii="Sylfaen" w:hAnsi="Sylfaen"/>
          <w:sz w:val="28"/>
          <w:szCs w:val="28"/>
        </w:rPr>
        <w:footnoteReference w:id="11"/>
      </w:r>
    </w:p>
    <w:p w14:paraId="08DFB3CD" w14:textId="77777777" w:rsidR="00AD60C4" w:rsidRPr="00FF62EC" w:rsidRDefault="00AD60C4" w:rsidP="00AD60C4">
      <w:pPr>
        <w:pStyle w:val="BodyText2"/>
        <w:spacing w:after="0" w:line="240" w:lineRule="auto"/>
        <w:jc w:val="both"/>
        <w:rPr>
          <w:rFonts w:ascii="Sylfaen" w:hAnsi="Sylfaen"/>
          <w:sz w:val="28"/>
          <w:szCs w:val="28"/>
        </w:rPr>
      </w:pPr>
    </w:p>
    <w:p w14:paraId="09017580" w14:textId="77777777" w:rsidR="00AD60C4" w:rsidRPr="00FF62EC" w:rsidRDefault="00AD60C4" w:rsidP="00AD60C4">
      <w:pPr>
        <w:pStyle w:val="BodyText2"/>
        <w:spacing w:after="0" w:line="240" w:lineRule="auto"/>
        <w:jc w:val="both"/>
        <w:rPr>
          <w:rFonts w:ascii="Sylfaen" w:hAnsi="Sylfaen"/>
          <w:sz w:val="28"/>
          <w:szCs w:val="28"/>
        </w:rPr>
      </w:pPr>
      <w:r w:rsidRPr="00FF62EC">
        <w:rPr>
          <w:rFonts w:ascii="Sylfaen" w:hAnsi="Sylfaen"/>
          <w:sz w:val="28"/>
          <w:szCs w:val="28"/>
        </w:rPr>
        <w:t>V. Rev. Nareg Alemezian</w:t>
      </w:r>
      <w:r w:rsidRPr="00FF62EC">
        <w:rPr>
          <w:rFonts w:ascii="Sylfaen" w:hAnsi="Sylfaen"/>
          <w:sz w:val="28"/>
          <w:szCs w:val="28"/>
        </w:rPr>
        <w:tab/>
      </w:r>
      <w:r w:rsidRPr="00FF62EC">
        <w:rPr>
          <w:rFonts w:ascii="Sylfaen" w:hAnsi="Sylfaen"/>
          <w:sz w:val="28"/>
          <w:szCs w:val="28"/>
        </w:rPr>
        <w:tab/>
      </w:r>
      <w:r w:rsidRPr="00FF62EC">
        <w:rPr>
          <w:rFonts w:ascii="Sylfaen" w:hAnsi="Sylfaen"/>
          <w:sz w:val="28"/>
          <w:szCs w:val="28"/>
        </w:rPr>
        <w:tab/>
      </w:r>
      <w:r w:rsidRPr="00FF62EC">
        <w:rPr>
          <w:rFonts w:ascii="Sylfaen" w:hAnsi="Sylfaen"/>
          <w:sz w:val="28"/>
          <w:szCs w:val="28"/>
        </w:rPr>
        <w:tab/>
      </w:r>
    </w:p>
    <w:p w14:paraId="606631F9" w14:textId="77777777" w:rsidR="008C46A2" w:rsidRDefault="00AD60C4" w:rsidP="00B44511">
      <w:pPr>
        <w:pStyle w:val="BodyText2"/>
        <w:spacing w:after="0" w:line="240" w:lineRule="auto"/>
        <w:jc w:val="both"/>
        <w:rPr>
          <w:rFonts w:ascii="Sylfaen" w:hAnsi="Sylfaen"/>
          <w:sz w:val="28"/>
          <w:szCs w:val="28"/>
          <w:lang w:val="en-US"/>
        </w:rPr>
      </w:pPr>
      <w:r w:rsidRPr="00FF62EC">
        <w:rPr>
          <w:rFonts w:ascii="Sylfaen" w:hAnsi="Sylfaen"/>
          <w:sz w:val="28"/>
          <w:szCs w:val="28"/>
        </w:rPr>
        <w:t>Antelias, Lebanon</w:t>
      </w:r>
    </w:p>
    <w:p w14:paraId="11B46DC8" w14:textId="41868341" w:rsidR="007D7895" w:rsidRDefault="00AD60C4" w:rsidP="00B44511">
      <w:pPr>
        <w:pStyle w:val="BodyText2"/>
        <w:spacing w:after="0" w:line="240" w:lineRule="auto"/>
        <w:jc w:val="both"/>
        <w:rPr>
          <w:rFonts w:ascii="Sylfaen" w:hAnsi="Sylfaen"/>
          <w:sz w:val="28"/>
          <w:szCs w:val="28"/>
        </w:rPr>
      </w:pPr>
      <w:r w:rsidRPr="00FF62EC">
        <w:rPr>
          <w:rFonts w:ascii="Sylfaen" w:hAnsi="Sylfaen"/>
          <w:sz w:val="28"/>
          <w:szCs w:val="28"/>
        </w:rPr>
        <w:t>1998</w:t>
      </w:r>
    </w:p>
    <w:p w14:paraId="34CC1656" w14:textId="77777777" w:rsidR="00AE343F" w:rsidRPr="00AE343F" w:rsidRDefault="00AE343F" w:rsidP="00AD60C4">
      <w:pPr>
        <w:pStyle w:val="BodyText2"/>
        <w:spacing w:after="0" w:line="240" w:lineRule="auto"/>
        <w:jc w:val="both"/>
        <w:rPr>
          <w:rFonts w:ascii="Sylfaen" w:hAnsi="Sylfaen"/>
        </w:rPr>
      </w:pPr>
    </w:p>
    <w:p w14:paraId="1596C5D2" w14:textId="77777777" w:rsidR="00AD60C4" w:rsidRPr="00AD60C4" w:rsidRDefault="00AD60C4" w:rsidP="00AD60C4">
      <w:pPr>
        <w:pStyle w:val="BodyText2"/>
        <w:spacing w:after="0" w:line="240" w:lineRule="auto"/>
        <w:jc w:val="both"/>
        <w:rPr>
          <w:rFonts w:ascii="Sylfaen" w:hAnsi="Sylfaen"/>
          <w:sz w:val="28"/>
          <w:szCs w:val="28"/>
        </w:rPr>
      </w:pPr>
    </w:p>
    <w:sectPr w:rsidR="00AD60C4" w:rsidRPr="00AD60C4">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8420E7" w14:textId="77777777" w:rsidR="00BD7EFD" w:rsidRDefault="00BD7EFD" w:rsidP="00AE343F">
      <w:r>
        <w:separator/>
      </w:r>
    </w:p>
  </w:endnote>
  <w:endnote w:type="continuationSeparator" w:id="0">
    <w:p w14:paraId="078389C2" w14:textId="77777777" w:rsidR="00BD7EFD" w:rsidRDefault="00BD7EFD" w:rsidP="00AE3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808266"/>
      <w:docPartObj>
        <w:docPartGallery w:val="Page Numbers (Bottom of Page)"/>
        <w:docPartUnique/>
      </w:docPartObj>
    </w:sdtPr>
    <w:sdtContent>
      <w:p w14:paraId="51F2C600" w14:textId="231BC8D3" w:rsidR="003266AC" w:rsidRDefault="003266A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06A1D4D" w14:textId="77777777" w:rsidR="003266AC" w:rsidRDefault="003266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41433477"/>
      <w:docPartObj>
        <w:docPartGallery w:val="Page Numbers (Bottom of Page)"/>
        <w:docPartUnique/>
      </w:docPartObj>
    </w:sdtPr>
    <w:sdtContent>
      <w:p w14:paraId="4E804E31" w14:textId="5ABFEB2C" w:rsidR="003266AC" w:rsidRDefault="003266AC"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90B386B" w14:textId="77777777" w:rsidR="003266AC" w:rsidRDefault="00326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6C5C63" w14:textId="77777777" w:rsidR="00BD7EFD" w:rsidRDefault="00BD7EFD" w:rsidP="00AE343F">
      <w:r>
        <w:separator/>
      </w:r>
    </w:p>
  </w:footnote>
  <w:footnote w:type="continuationSeparator" w:id="0">
    <w:p w14:paraId="458CC206" w14:textId="77777777" w:rsidR="00BD7EFD" w:rsidRDefault="00BD7EFD" w:rsidP="00AE343F">
      <w:r>
        <w:continuationSeparator/>
      </w:r>
    </w:p>
  </w:footnote>
  <w:footnote w:id="1">
    <w:p w14:paraId="15585EB1" w14:textId="0A84A628" w:rsidR="00AE343F" w:rsidRPr="00AE343F" w:rsidRDefault="00AE343F" w:rsidP="00AE343F">
      <w:pPr>
        <w:pStyle w:val="FootnoteText"/>
        <w:jc w:val="both"/>
        <w:rPr>
          <w:rFonts w:ascii="Sylfaen" w:hAnsi="Sylfaen"/>
          <w:lang w:val="en-US"/>
        </w:rPr>
      </w:pPr>
      <w:r w:rsidRPr="00AE343F">
        <w:rPr>
          <w:rStyle w:val="FootnoteReference"/>
          <w:rFonts w:ascii="Sylfaen" w:hAnsi="Sylfaen"/>
        </w:rPr>
        <w:footnoteRef/>
      </w:r>
      <w:r w:rsidRPr="00AE343F">
        <w:rPr>
          <w:rFonts w:ascii="Sylfaen" w:hAnsi="Sylfaen"/>
        </w:rPr>
        <w:t xml:space="preserve"> In order to avoid the confusion of the annual total of 428 Dominical days (140), Saints’ days (128) and Days of abstinence (150), we have to remember that the Great Lent and six dietetic fasting weeks overlap the weekly Wednesdays and Fridays.</w:t>
      </w:r>
    </w:p>
  </w:footnote>
  <w:footnote w:id="2">
    <w:p w14:paraId="49CBF6B3" w14:textId="37E19CF1" w:rsidR="00882A97" w:rsidRPr="00882A97" w:rsidRDefault="00882A97" w:rsidP="00882A97">
      <w:pPr>
        <w:pStyle w:val="FootnoteText"/>
        <w:jc w:val="both"/>
        <w:rPr>
          <w:rFonts w:ascii="Sylfaen" w:hAnsi="Sylfaen"/>
          <w:lang w:val="en-US"/>
        </w:rPr>
      </w:pPr>
      <w:r w:rsidRPr="00882A97">
        <w:rPr>
          <w:rStyle w:val="FootnoteReference"/>
          <w:rFonts w:ascii="Sylfaen" w:hAnsi="Sylfaen"/>
        </w:rPr>
        <w:footnoteRef/>
      </w:r>
      <w:r w:rsidRPr="00882A97">
        <w:rPr>
          <w:rFonts w:ascii="Sylfaen" w:hAnsi="Sylfaen"/>
        </w:rPr>
        <w:t xml:space="preserve"> William R. Crockett, </w:t>
      </w:r>
      <w:r w:rsidRPr="00882A97">
        <w:rPr>
          <w:rFonts w:ascii="Sylfaen" w:hAnsi="Sylfaen"/>
          <w:i/>
        </w:rPr>
        <w:t xml:space="preserve">Eucharist: Symbol of Transformation, </w:t>
      </w:r>
      <w:r w:rsidRPr="00882A97">
        <w:rPr>
          <w:rFonts w:ascii="Sylfaen" w:hAnsi="Sylfaen"/>
        </w:rPr>
        <w:t>Pueblo Publishing Company, New York, c1989, p. 231.</w:t>
      </w:r>
    </w:p>
  </w:footnote>
  <w:footnote w:id="3">
    <w:p w14:paraId="40F51CE9" w14:textId="190D91F6" w:rsidR="00882A97" w:rsidRPr="00D10951" w:rsidRDefault="00882A97" w:rsidP="00D10951">
      <w:pPr>
        <w:pStyle w:val="FootnoteText"/>
        <w:jc w:val="both"/>
        <w:rPr>
          <w:rFonts w:ascii="Sylfaen" w:hAnsi="Sylfaen"/>
          <w:lang w:val="en-US"/>
        </w:rPr>
      </w:pPr>
      <w:r w:rsidRPr="00D10951">
        <w:rPr>
          <w:rStyle w:val="FootnoteReference"/>
          <w:rFonts w:ascii="Sylfaen" w:hAnsi="Sylfaen"/>
        </w:rPr>
        <w:footnoteRef/>
      </w:r>
      <w:r w:rsidRPr="00D10951">
        <w:rPr>
          <w:rFonts w:ascii="Sylfaen" w:hAnsi="Sylfaen"/>
        </w:rPr>
        <w:t xml:space="preserve"> </w:t>
      </w:r>
      <w:r w:rsidR="00D10951" w:rsidRPr="00D10951">
        <w:rPr>
          <w:rFonts w:ascii="Sylfaen" w:hAnsi="Sylfaen"/>
        </w:rPr>
        <w:t xml:space="preserve">The Right Reverend Henry Hill, Ed., </w:t>
      </w:r>
      <w:r w:rsidR="00D10951" w:rsidRPr="00D10951">
        <w:rPr>
          <w:rFonts w:ascii="Sylfaen" w:hAnsi="Sylfaen"/>
          <w:i/>
        </w:rPr>
        <w:t>Light from the East</w:t>
      </w:r>
      <w:r w:rsidR="00D10951" w:rsidRPr="00D10951">
        <w:rPr>
          <w:rFonts w:ascii="Sylfaen" w:hAnsi="Sylfaen"/>
        </w:rPr>
        <w:t>, Anglican Book Centre, Toronto, Canada, c1988, p. 20.</w:t>
      </w:r>
    </w:p>
  </w:footnote>
  <w:footnote w:id="4">
    <w:p w14:paraId="23995529" w14:textId="132E8AA1" w:rsidR="00D10951" w:rsidRPr="008470D6" w:rsidRDefault="00D10951" w:rsidP="008470D6">
      <w:pPr>
        <w:pStyle w:val="FootnoteText"/>
        <w:jc w:val="both"/>
        <w:rPr>
          <w:rFonts w:ascii="Sylfaen" w:hAnsi="Sylfaen"/>
          <w:lang w:val="en-US"/>
        </w:rPr>
      </w:pPr>
      <w:r w:rsidRPr="008470D6">
        <w:rPr>
          <w:rStyle w:val="FootnoteReference"/>
          <w:rFonts w:ascii="Sylfaen" w:hAnsi="Sylfaen"/>
        </w:rPr>
        <w:footnoteRef/>
      </w:r>
      <w:r w:rsidRPr="008470D6">
        <w:rPr>
          <w:rFonts w:ascii="Sylfaen" w:hAnsi="Sylfaen"/>
        </w:rPr>
        <w:t xml:space="preserve"> </w:t>
      </w:r>
      <w:r w:rsidR="008470D6" w:rsidRPr="008470D6">
        <w:rPr>
          <w:rFonts w:ascii="Sylfaen" w:hAnsi="Sylfaen"/>
        </w:rPr>
        <w:t xml:space="preserve">“Liturgy”, p. 626, </w:t>
      </w:r>
      <w:r w:rsidR="008470D6" w:rsidRPr="008470D6">
        <w:rPr>
          <w:rFonts w:ascii="Sylfaen" w:hAnsi="Sylfaen"/>
          <w:i/>
        </w:rPr>
        <w:t>Dictionary of the Ecumenical Movement,</w:t>
      </w:r>
      <w:r w:rsidR="008470D6" w:rsidRPr="008470D6">
        <w:rPr>
          <w:rFonts w:ascii="Sylfaen" w:hAnsi="Sylfaen"/>
        </w:rPr>
        <w:t xml:space="preserve"> Nicholas Lossky, Jose Miguez Bonino, John S. Pobee, Tom F. Stransky, Geoffrey Wainwright, Pauline Webb, Ed., W.C.C. Publications, Geneva, c1991.</w:t>
      </w:r>
    </w:p>
  </w:footnote>
  <w:footnote w:id="5">
    <w:p w14:paraId="63ADA832" w14:textId="71BEB533" w:rsidR="003B0CBC" w:rsidRPr="0047059B" w:rsidRDefault="003B0CBC" w:rsidP="0047059B">
      <w:pPr>
        <w:pStyle w:val="FootnoteText"/>
        <w:jc w:val="both"/>
        <w:rPr>
          <w:rFonts w:ascii="Sylfaen" w:hAnsi="Sylfaen"/>
          <w:lang w:val="en-US"/>
        </w:rPr>
      </w:pPr>
      <w:r w:rsidRPr="0047059B">
        <w:rPr>
          <w:rStyle w:val="FootnoteReference"/>
          <w:rFonts w:ascii="Sylfaen" w:hAnsi="Sylfaen"/>
        </w:rPr>
        <w:footnoteRef/>
      </w:r>
      <w:r w:rsidRPr="0047059B">
        <w:rPr>
          <w:rFonts w:ascii="Sylfaen" w:hAnsi="Sylfaen"/>
        </w:rPr>
        <w:t xml:space="preserve"> </w:t>
      </w:r>
      <w:r w:rsidR="0047059B" w:rsidRPr="0047059B">
        <w:rPr>
          <w:rFonts w:ascii="Sylfaen" w:hAnsi="Sylfaen"/>
        </w:rPr>
        <w:t xml:space="preserve">St. Nerses Snorhali, </w:t>
      </w:r>
      <w:r w:rsidR="0047059B" w:rsidRPr="0047059B">
        <w:rPr>
          <w:rFonts w:ascii="Sylfaen" w:hAnsi="Sylfaen"/>
          <w:i/>
        </w:rPr>
        <w:t>General Epistle</w:t>
      </w:r>
      <w:r w:rsidR="0047059B" w:rsidRPr="0047059B">
        <w:rPr>
          <w:rFonts w:ascii="Sylfaen" w:hAnsi="Sylfaen"/>
        </w:rPr>
        <w:t>, Translation and Introduction by Fr. Arakel Aljalian, New Rochelle, New York, c1996, pp. 18–19.</w:t>
      </w:r>
    </w:p>
  </w:footnote>
  <w:footnote w:id="6">
    <w:p w14:paraId="6C3AC3AF" w14:textId="2D7E5FB5" w:rsidR="0047059B" w:rsidRPr="0060370E" w:rsidRDefault="0047059B" w:rsidP="0060370E">
      <w:pPr>
        <w:pStyle w:val="FootnoteText"/>
        <w:jc w:val="both"/>
        <w:rPr>
          <w:rFonts w:ascii="Sylfaen" w:hAnsi="Sylfaen"/>
          <w:lang w:val="en-US"/>
        </w:rPr>
      </w:pPr>
      <w:r w:rsidRPr="0060370E">
        <w:rPr>
          <w:rStyle w:val="FootnoteReference"/>
          <w:rFonts w:ascii="Sylfaen" w:hAnsi="Sylfaen"/>
        </w:rPr>
        <w:footnoteRef/>
      </w:r>
      <w:r w:rsidRPr="0060370E">
        <w:rPr>
          <w:rFonts w:ascii="Sylfaen" w:hAnsi="Sylfaen"/>
        </w:rPr>
        <w:t xml:space="preserve"> </w:t>
      </w:r>
      <w:r w:rsidR="0060370E" w:rsidRPr="0060370E">
        <w:rPr>
          <w:rFonts w:ascii="Sylfaen" w:hAnsi="Sylfaen"/>
        </w:rPr>
        <w:t xml:space="preserve">Cheslyn Jones, Geoffrey Wainwright, Edward Yarnold, SJ, Ed., </w:t>
      </w:r>
      <w:r w:rsidR="0060370E" w:rsidRPr="0060370E">
        <w:rPr>
          <w:rFonts w:ascii="Sylfaen" w:hAnsi="Sylfaen"/>
          <w:i/>
        </w:rPr>
        <w:t>The Study of Liturgy</w:t>
      </w:r>
      <w:r w:rsidR="0060370E" w:rsidRPr="0060370E">
        <w:rPr>
          <w:rFonts w:ascii="Sylfaen" w:hAnsi="Sylfaen"/>
        </w:rPr>
        <w:t>, SPCK, c1985, pp. 11–15; p. 24; p. 28.</w:t>
      </w:r>
    </w:p>
  </w:footnote>
  <w:footnote w:id="7">
    <w:p w14:paraId="71A01FC6" w14:textId="747372CC" w:rsidR="0060370E" w:rsidRPr="0060370E" w:rsidRDefault="0060370E" w:rsidP="0060370E">
      <w:pPr>
        <w:pStyle w:val="FootnoteText"/>
        <w:jc w:val="both"/>
        <w:rPr>
          <w:rFonts w:ascii="Sylfaen" w:hAnsi="Sylfaen"/>
          <w:lang w:val="en-US"/>
        </w:rPr>
      </w:pPr>
      <w:r w:rsidRPr="0060370E">
        <w:rPr>
          <w:rStyle w:val="FootnoteReference"/>
          <w:rFonts w:ascii="Sylfaen" w:hAnsi="Sylfaen"/>
        </w:rPr>
        <w:footnoteRef/>
      </w:r>
      <w:r w:rsidRPr="0060370E">
        <w:rPr>
          <w:rFonts w:ascii="Sylfaen" w:hAnsi="Sylfaen"/>
        </w:rPr>
        <w:t xml:space="preserve"> Catholicos Babgen, </w:t>
      </w:r>
      <w:r w:rsidRPr="0060370E">
        <w:rPr>
          <w:rFonts w:ascii="Sylfaen" w:hAnsi="Sylfaen"/>
          <w:i/>
        </w:rPr>
        <w:t xml:space="preserve">Armenian Church </w:t>
      </w:r>
      <w:r w:rsidRPr="0060370E">
        <w:rPr>
          <w:rFonts w:ascii="Sylfaen" w:hAnsi="Sylfaen"/>
          <w:iCs/>
        </w:rPr>
        <w:t>(in Armenian)</w:t>
      </w:r>
      <w:r w:rsidRPr="0060370E">
        <w:rPr>
          <w:rFonts w:ascii="Sylfaen" w:hAnsi="Sylfaen"/>
          <w:i/>
        </w:rPr>
        <w:t>,</w:t>
      </w:r>
      <w:r w:rsidRPr="0060370E">
        <w:rPr>
          <w:rFonts w:ascii="Sylfaen" w:hAnsi="Sylfaen"/>
        </w:rPr>
        <w:t xml:space="preserve"> Jerusalem, 1930, pp. 78–79.</w:t>
      </w:r>
    </w:p>
  </w:footnote>
  <w:footnote w:id="8">
    <w:p w14:paraId="2117A085" w14:textId="02354D77" w:rsidR="0060370E" w:rsidRPr="008C46A2" w:rsidRDefault="0060370E" w:rsidP="008C46A2">
      <w:pPr>
        <w:pStyle w:val="FootnoteText"/>
        <w:jc w:val="both"/>
        <w:rPr>
          <w:rFonts w:ascii="Sylfaen" w:hAnsi="Sylfaen"/>
          <w:lang w:val="en-US"/>
        </w:rPr>
      </w:pPr>
      <w:r w:rsidRPr="008C46A2">
        <w:rPr>
          <w:rStyle w:val="FootnoteReference"/>
          <w:rFonts w:ascii="Sylfaen" w:hAnsi="Sylfaen"/>
        </w:rPr>
        <w:footnoteRef/>
      </w:r>
      <w:r w:rsidRPr="008C46A2">
        <w:rPr>
          <w:rFonts w:ascii="Sylfaen" w:hAnsi="Sylfaen"/>
        </w:rPr>
        <w:t xml:space="preserve"> </w:t>
      </w:r>
      <w:r w:rsidR="008C46A2" w:rsidRPr="008C46A2">
        <w:rPr>
          <w:rFonts w:ascii="Sylfaen" w:hAnsi="Sylfaen"/>
          <w:i/>
        </w:rPr>
        <w:t>Ibid.</w:t>
      </w:r>
      <w:r w:rsidR="008C46A2" w:rsidRPr="008C46A2">
        <w:rPr>
          <w:rFonts w:ascii="Sylfaen" w:hAnsi="Sylfaen"/>
        </w:rPr>
        <w:t xml:space="preserve"> p. 22.</w:t>
      </w:r>
    </w:p>
  </w:footnote>
  <w:footnote w:id="9">
    <w:p w14:paraId="039B0B88" w14:textId="4546A6A0" w:rsidR="008C46A2" w:rsidRPr="008C46A2" w:rsidRDefault="008C46A2" w:rsidP="008C46A2">
      <w:pPr>
        <w:pStyle w:val="FootnoteText"/>
        <w:jc w:val="both"/>
        <w:rPr>
          <w:rFonts w:ascii="Sylfaen" w:hAnsi="Sylfaen"/>
          <w:lang w:val="en-US"/>
        </w:rPr>
      </w:pPr>
      <w:r w:rsidRPr="008C46A2">
        <w:rPr>
          <w:rStyle w:val="FootnoteReference"/>
          <w:rFonts w:ascii="Sylfaen" w:hAnsi="Sylfaen"/>
        </w:rPr>
        <w:footnoteRef/>
      </w:r>
      <w:r w:rsidRPr="008C46A2">
        <w:rPr>
          <w:rFonts w:ascii="Sylfaen" w:hAnsi="Sylfaen"/>
        </w:rPr>
        <w:t xml:space="preserve"> Aidan Kavanagh, </w:t>
      </w:r>
      <w:r w:rsidRPr="008C46A2">
        <w:rPr>
          <w:rFonts w:ascii="Sylfaen" w:hAnsi="Sylfaen"/>
          <w:i/>
        </w:rPr>
        <w:t>On Liturgical Theology</w:t>
      </w:r>
      <w:r w:rsidRPr="008C46A2">
        <w:rPr>
          <w:rFonts w:ascii="Sylfaen" w:hAnsi="Sylfaen"/>
        </w:rPr>
        <w:t>, Pueblo Publishing Company, New York, c1984, p. 15.</w:t>
      </w:r>
    </w:p>
  </w:footnote>
  <w:footnote w:id="10">
    <w:p w14:paraId="57E4BBA4" w14:textId="7918F87E" w:rsidR="008C46A2" w:rsidRPr="008C46A2" w:rsidRDefault="008C46A2">
      <w:pPr>
        <w:pStyle w:val="FootnoteText"/>
        <w:rPr>
          <w:rFonts w:ascii="Sylfaen" w:hAnsi="Sylfaen"/>
          <w:lang w:val="en-US"/>
        </w:rPr>
      </w:pPr>
      <w:r w:rsidRPr="008C46A2">
        <w:rPr>
          <w:rStyle w:val="FootnoteReference"/>
          <w:rFonts w:ascii="Sylfaen" w:hAnsi="Sylfaen"/>
        </w:rPr>
        <w:footnoteRef/>
      </w:r>
      <w:r w:rsidRPr="008C46A2">
        <w:rPr>
          <w:rFonts w:ascii="Sylfaen" w:hAnsi="Sylfaen"/>
        </w:rPr>
        <w:t xml:space="preserve"> Archbishop Malachia Ormanian, </w:t>
      </w:r>
      <w:r w:rsidRPr="008C46A2">
        <w:rPr>
          <w:rFonts w:ascii="Sylfaen" w:hAnsi="Sylfaen"/>
          <w:i/>
        </w:rPr>
        <w:t xml:space="preserve">Theology </w:t>
      </w:r>
      <w:r w:rsidRPr="008C46A2">
        <w:rPr>
          <w:rFonts w:ascii="Sylfaen" w:hAnsi="Sylfaen"/>
          <w:iCs/>
        </w:rPr>
        <w:t>(in Armenian)</w:t>
      </w:r>
      <w:r w:rsidRPr="008C46A2">
        <w:rPr>
          <w:rFonts w:ascii="Sylfaen" w:hAnsi="Sylfaen"/>
        </w:rPr>
        <w:t>, Jerusalem, 1985, pp. 223–224.</w:t>
      </w:r>
    </w:p>
  </w:footnote>
  <w:footnote w:id="11">
    <w:p w14:paraId="74B3171C" w14:textId="238B6FA1" w:rsidR="008C46A2" w:rsidRPr="008C46A2" w:rsidRDefault="008C46A2">
      <w:pPr>
        <w:pStyle w:val="FootnoteText"/>
        <w:rPr>
          <w:rFonts w:ascii="Sylfaen" w:hAnsi="Sylfaen"/>
          <w:lang w:val="en-US"/>
        </w:rPr>
      </w:pPr>
      <w:r w:rsidRPr="008C46A2">
        <w:rPr>
          <w:rStyle w:val="FootnoteReference"/>
          <w:rFonts w:ascii="Sylfaen" w:hAnsi="Sylfaen"/>
        </w:rPr>
        <w:footnoteRef/>
      </w:r>
      <w:r w:rsidRPr="008C46A2">
        <w:rPr>
          <w:rFonts w:ascii="Sylfaen" w:hAnsi="Sylfaen"/>
        </w:rPr>
        <w:t xml:space="preserve"> </w:t>
      </w:r>
      <w:r w:rsidRPr="008C46A2">
        <w:rPr>
          <w:rFonts w:ascii="Sylfaen" w:hAnsi="Sylfaen"/>
          <w:i/>
        </w:rPr>
        <w:t>Ibid.</w:t>
      </w:r>
      <w:r w:rsidRPr="008C46A2">
        <w:rPr>
          <w:rFonts w:ascii="Sylfaen" w:hAnsi="Sylfaen"/>
        </w:rPr>
        <w:t xml:space="preserve"> p. 142.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3760C55"/>
    <w:multiLevelType w:val="hybridMultilevel"/>
    <w:tmpl w:val="DCF0A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06497B"/>
    <w:multiLevelType w:val="singleLevel"/>
    <w:tmpl w:val="56046BE6"/>
    <w:lvl w:ilvl="0">
      <w:start w:val="1"/>
      <w:numFmt w:val="upperLetter"/>
      <w:lvlText w:val="%1)"/>
      <w:lvlJc w:val="left"/>
      <w:pPr>
        <w:tabs>
          <w:tab w:val="num" w:pos="360"/>
        </w:tabs>
        <w:ind w:left="360" w:hanging="360"/>
      </w:pPr>
      <w:rPr>
        <w:rFonts w:hint="default"/>
      </w:rPr>
    </w:lvl>
  </w:abstractNum>
  <w:num w:numId="1" w16cid:durableId="593123900">
    <w:abstractNumId w:val="1"/>
  </w:num>
  <w:num w:numId="2" w16cid:durableId="386730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0C4"/>
    <w:rsid w:val="00157BF2"/>
    <w:rsid w:val="003266AC"/>
    <w:rsid w:val="003B0CBC"/>
    <w:rsid w:val="003D7CBC"/>
    <w:rsid w:val="0047059B"/>
    <w:rsid w:val="00476376"/>
    <w:rsid w:val="005824C9"/>
    <w:rsid w:val="0060370E"/>
    <w:rsid w:val="007D7895"/>
    <w:rsid w:val="008470D6"/>
    <w:rsid w:val="00882A97"/>
    <w:rsid w:val="008C46A2"/>
    <w:rsid w:val="00AD60C4"/>
    <w:rsid w:val="00AE21AF"/>
    <w:rsid w:val="00AE343F"/>
    <w:rsid w:val="00B41865"/>
    <w:rsid w:val="00B44511"/>
    <w:rsid w:val="00BD7EFD"/>
    <w:rsid w:val="00C03365"/>
    <w:rsid w:val="00D10951"/>
    <w:rsid w:val="00EA3AF9"/>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89588EF"/>
  <w15:chartTrackingRefBased/>
  <w15:docId w15:val="{15BE8F53-1FDD-FF40-BC65-06E84EE11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0C4"/>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AD60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D60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D60C4"/>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60C4"/>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D60C4"/>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D60C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60C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60C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60C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60C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D60C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D60C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60C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D60C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D60C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D60C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D60C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D60C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D60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60C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AD60C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60C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D60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D60C4"/>
    <w:rPr>
      <w:i/>
      <w:iCs/>
      <w:color w:val="404040" w:themeColor="text1" w:themeTint="BF"/>
    </w:rPr>
  </w:style>
  <w:style w:type="paragraph" w:styleId="ListParagraph">
    <w:name w:val="List Paragraph"/>
    <w:basedOn w:val="Normal"/>
    <w:uiPriority w:val="34"/>
    <w:qFormat/>
    <w:rsid w:val="00AD60C4"/>
    <w:pPr>
      <w:ind w:left="720"/>
      <w:contextualSpacing/>
    </w:pPr>
  </w:style>
  <w:style w:type="character" w:styleId="IntenseEmphasis">
    <w:name w:val="Intense Emphasis"/>
    <w:basedOn w:val="DefaultParagraphFont"/>
    <w:uiPriority w:val="21"/>
    <w:qFormat/>
    <w:rsid w:val="00AD60C4"/>
    <w:rPr>
      <w:i/>
      <w:iCs/>
      <w:color w:val="2F5496" w:themeColor="accent1" w:themeShade="BF"/>
    </w:rPr>
  </w:style>
  <w:style w:type="paragraph" w:styleId="IntenseQuote">
    <w:name w:val="Intense Quote"/>
    <w:basedOn w:val="Normal"/>
    <w:next w:val="Normal"/>
    <w:link w:val="IntenseQuoteChar"/>
    <w:uiPriority w:val="30"/>
    <w:qFormat/>
    <w:rsid w:val="00AD60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60C4"/>
    <w:rPr>
      <w:i/>
      <w:iCs/>
      <w:color w:val="2F5496" w:themeColor="accent1" w:themeShade="BF"/>
    </w:rPr>
  </w:style>
  <w:style w:type="character" w:styleId="IntenseReference">
    <w:name w:val="Intense Reference"/>
    <w:basedOn w:val="DefaultParagraphFont"/>
    <w:uiPriority w:val="32"/>
    <w:qFormat/>
    <w:rsid w:val="00AD60C4"/>
    <w:rPr>
      <w:b/>
      <w:bCs/>
      <w:smallCaps/>
      <w:color w:val="2F5496" w:themeColor="accent1" w:themeShade="BF"/>
      <w:spacing w:val="5"/>
    </w:rPr>
  </w:style>
  <w:style w:type="paragraph" w:styleId="BodyText2">
    <w:name w:val="Body Text 2"/>
    <w:basedOn w:val="Normal"/>
    <w:link w:val="BodyText2Char"/>
    <w:uiPriority w:val="99"/>
    <w:unhideWhenUsed/>
    <w:rsid w:val="00AD60C4"/>
    <w:pPr>
      <w:spacing w:after="120" w:line="480" w:lineRule="auto"/>
    </w:pPr>
  </w:style>
  <w:style w:type="character" w:customStyle="1" w:styleId="BodyText2Char">
    <w:name w:val="Body Text 2 Char"/>
    <w:basedOn w:val="DefaultParagraphFont"/>
    <w:link w:val="BodyText2"/>
    <w:uiPriority w:val="99"/>
    <w:rsid w:val="00AD60C4"/>
    <w:rPr>
      <w:rFonts w:ascii="Times New Roman" w:eastAsia="Times New Roman" w:hAnsi="Times New Roman" w:cs="Times New Roman"/>
      <w:color w:val="auto"/>
    </w:rPr>
  </w:style>
  <w:style w:type="paragraph" w:styleId="FootnoteText">
    <w:name w:val="footnote text"/>
    <w:basedOn w:val="Normal"/>
    <w:link w:val="FootnoteTextChar"/>
    <w:uiPriority w:val="99"/>
    <w:semiHidden/>
    <w:unhideWhenUsed/>
    <w:rsid w:val="00AE343F"/>
    <w:rPr>
      <w:sz w:val="20"/>
      <w:szCs w:val="20"/>
    </w:rPr>
  </w:style>
  <w:style w:type="character" w:customStyle="1" w:styleId="FootnoteTextChar">
    <w:name w:val="Footnote Text Char"/>
    <w:basedOn w:val="DefaultParagraphFont"/>
    <w:link w:val="FootnoteText"/>
    <w:uiPriority w:val="99"/>
    <w:semiHidden/>
    <w:rsid w:val="00AE343F"/>
    <w:rPr>
      <w:rFonts w:ascii="Times New Roman" w:eastAsia="Times New Roman" w:hAnsi="Times New Roman" w:cs="Times New Roman"/>
      <w:color w:val="auto"/>
      <w:sz w:val="20"/>
      <w:szCs w:val="20"/>
    </w:rPr>
  </w:style>
  <w:style w:type="character" w:styleId="FootnoteReference">
    <w:name w:val="footnote reference"/>
    <w:basedOn w:val="DefaultParagraphFont"/>
    <w:uiPriority w:val="99"/>
    <w:semiHidden/>
    <w:unhideWhenUsed/>
    <w:rsid w:val="00AE343F"/>
    <w:rPr>
      <w:vertAlign w:val="superscript"/>
    </w:rPr>
  </w:style>
  <w:style w:type="paragraph" w:styleId="Footer">
    <w:name w:val="footer"/>
    <w:basedOn w:val="Normal"/>
    <w:link w:val="FooterChar"/>
    <w:uiPriority w:val="99"/>
    <w:unhideWhenUsed/>
    <w:rsid w:val="003266AC"/>
    <w:pPr>
      <w:tabs>
        <w:tab w:val="center" w:pos="4680"/>
        <w:tab w:val="right" w:pos="9360"/>
      </w:tabs>
    </w:pPr>
  </w:style>
  <w:style w:type="character" w:customStyle="1" w:styleId="FooterChar">
    <w:name w:val="Footer Char"/>
    <w:basedOn w:val="DefaultParagraphFont"/>
    <w:link w:val="Footer"/>
    <w:uiPriority w:val="99"/>
    <w:rsid w:val="003266AC"/>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3266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CFAE7-A325-5744-848B-31AE9966A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2578</Words>
  <Characters>14697</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2026-07-07T10:37:00Z</dcterms:created>
  <dcterms:modified xsi:type="dcterms:W3CDTF">2026-07-07T12:47:00Z</dcterms:modified>
</cp:coreProperties>
</file>