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E026F9" w14:textId="77777777" w:rsidR="00C26C94" w:rsidRPr="00251816" w:rsidRDefault="00C26C94" w:rsidP="00C26C94">
      <w:pPr>
        <w:pStyle w:val="BodyText"/>
        <w:pageBreakBefore/>
        <w:jc w:val="center"/>
        <w:rPr>
          <w:rFonts w:ascii="Sylfaen" w:hAnsi="Sylfaen"/>
          <w:sz w:val="32"/>
          <w:szCs w:val="32"/>
        </w:rPr>
      </w:pPr>
      <w:r w:rsidRPr="00251816">
        <w:rPr>
          <w:rFonts w:ascii="Sylfaen" w:hAnsi="Sylfaen"/>
          <w:sz w:val="32"/>
          <w:szCs w:val="32"/>
        </w:rPr>
        <w:t>MISSION 2000 - VISION AND CHALLENGES</w:t>
      </w:r>
    </w:p>
    <w:p w14:paraId="0243CDBE" w14:textId="77777777" w:rsidR="00C26C94" w:rsidRPr="00C26C94" w:rsidRDefault="00C26C94" w:rsidP="00C26C94">
      <w:pPr>
        <w:pStyle w:val="BodyText"/>
        <w:jc w:val="both"/>
        <w:rPr>
          <w:rFonts w:ascii="Sylfaen" w:hAnsi="Sylfaen"/>
          <w:szCs w:val="28"/>
        </w:rPr>
      </w:pPr>
    </w:p>
    <w:p w14:paraId="7E3896BC" w14:textId="77777777" w:rsidR="00C26C94" w:rsidRPr="00C26C94" w:rsidRDefault="00C26C94" w:rsidP="00C26C94">
      <w:pPr>
        <w:pStyle w:val="BodyText"/>
        <w:jc w:val="both"/>
        <w:rPr>
          <w:rFonts w:ascii="Sylfaen" w:hAnsi="Sylfaen"/>
          <w:szCs w:val="28"/>
        </w:rPr>
      </w:pPr>
      <w:r w:rsidRPr="00C26C94">
        <w:rPr>
          <w:rFonts w:ascii="Sylfaen" w:hAnsi="Sylfaen"/>
          <w:szCs w:val="28"/>
        </w:rPr>
        <w:t>Psalm 24 in general and the first verse specifically, “The earth is the LORD’s, and everything in it, the world, and all who live in it,” can become an ecumenical starting point for the stimulation of further discussion of the theme of this ecumenical meeting, as we renew and reaffirm our commitment to mission and evangelism and unfold our common agenda of the visions and challenges that the universal Church is facing on the threshold of the 21</w:t>
      </w:r>
      <w:r w:rsidRPr="00C26C94">
        <w:rPr>
          <w:rFonts w:ascii="Sylfaen" w:hAnsi="Sylfaen"/>
          <w:szCs w:val="28"/>
          <w:vertAlign w:val="superscript"/>
        </w:rPr>
        <w:t>st</w:t>
      </w:r>
      <w:r w:rsidRPr="00C26C94">
        <w:rPr>
          <w:rFonts w:ascii="Sylfaen" w:hAnsi="Sylfaen"/>
          <w:szCs w:val="28"/>
        </w:rPr>
        <w:t xml:space="preserve"> century. </w:t>
      </w:r>
    </w:p>
    <w:p w14:paraId="5BFBAAA6" w14:textId="77777777" w:rsidR="00C26C94" w:rsidRPr="00C26C94" w:rsidRDefault="00C26C94" w:rsidP="00C26C94">
      <w:pPr>
        <w:pStyle w:val="BodyText"/>
        <w:jc w:val="both"/>
        <w:rPr>
          <w:rFonts w:ascii="Sylfaen" w:hAnsi="Sylfaen"/>
          <w:szCs w:val="28"/>
        </w:rPr>
      </w:pPr>
    </w:p>
    <w:p w14:paraId="60CE98EA" w14:textId="77777777" w:rsidR="00C26C94" w:rsidRPr="00C26C94" w:rsidRDefault="00C26C94" w:rsidP="00C26C94">
      <w:pPr>
        <w:pStyle w:val="BodyText"/>
        <w:jc w:val="both"/>
        <w:rPr>
          <w:rFonts w:ascii="Sylfaen" w:hAnsi="Sylfaen"/>
          <w:szCs w:val="28"/>
        </w:rPr>
      </w:pPr>
      <w:r w:rsidRPr="00C26C94">
        <w:rPr>
          <w:rFonts w:ascii="Sylfaen" w:hAnsi="Sylfaen"/>
          <w:szCs w:val="28"/>
        </w:rPr>
        <w:t xml:space="preserve">The title added ‘for the first day of the week’ to Psalm 24 is an indication that it was dedicated to the Creator and the creation, and the Jewish festival of the New Year. In the Armenian Apostolic church, Psalm 24.7–10 is recited by the celebrant and the deacon as the responsory of the Great Entrance of the Holy Liturgy. Therefore, by confirming the fact of the universal authority of our Creator, venturing to enter and to bring many others into God’s presence and reinstating the importance of eucharistic fellowship as the visible sign of our unity, I would like to make the following eight short statements as my contribution to our common concerns, visions and challenges: </w:t>
      </w:r>
    </w:p>
    <w:p w14:paraId="70CD3773" w14:textId="77777777" w:rsidR="00C26C94" w:rsidRPr="00C26C94" w:rsidRDefault="00C26C94" w:rsidP="00C26C94">
      <w:pPr>
        <w:pStyle w:val="BodyText"/>
        <w:jc w:val="both"/>
        <w:rPr>
          <w:rFonts w:ascii="Sylfaen" w:hAnsi="Sylfaen"/>
          <w:szCs w:val="28"/>
        </w:rPr>
      </w:pPr>
    </w:p>
    <w:p w14:paraId="0BD52CF1" w14:textId="77777777" w:rsidR="00C26C94" w:rsidRPr="00C26C94" w:rsidRDefault="00C26C94" w:rsidP="00C26C94">
      <w:pPr>
        <w:pStyle w:val="BodyText"/>
        <w:jc w:val="both"/>
        <w:rPr>
          <w:rFonts w:ascii="Sylfaen" w:hAnsi="Sylfaen"/>
          <w:szCs w:val="28"/>
        </w:rPr>
      </w:pPr>
      <w:r w:rsidRPr="00C26C94">
        <w:rPr>
          <w:rFonts w:ascii="Sylfaen" w:hAnsi="Sylfaen"/>
          <w:szCs w:val="28"/>
        </w:rPr>
        <w:t xml:space="preserve">1. The Church (all churches) is called to evangelize. The main mission of the Church is to reach out to others. Renewal in mission is imperative because Christian mission of evangelizing the whole world is not a human ambition or humanitarian enterprise but the vocation of the Church. Hence it should become the extension of the Pentecost (Acts 2.1–39) accentuated by Apostle Peter's invitation, </w:t>
      </w:r>
      <w:r w:rsidRPr="00C26C94">
        <w:rPr>
          <w:rFonts w:ascii="Sylfaen" w:hAnsi="Sylfaen"/>
          <w:i/>
          <w:iCs/>
          <w:szCs w:val="28"/>
        </w:rPr>
        <w:t>“Repent and be baptized, every one of you, in the name of Jesus Christ for the forgiveness of your sins. And you will receive the gift of the Holy Spirit. The promise is for you and your children and for all who are far off –– for all whom the Lord our God will call”</w:t>
      </w:r>
      <w:r w:rsidRPr="00C26C94">
        <w:rPr>
          <w:rFonts w:ascii="Sylfaen" w:hAnsi="Sylfaen"/>
          <w:szCs w:val="28"/>
        </w:rPr>
        <w:t xml:space="preserve"> (Acts 2.38–39). The urgency of bringing the Gospel, the good news, to all humanity is based on our relationship with the Creator and not only His creation. This relationship is reflected in prayer, witness, service and accountability to God. We are carrying Christ and not our own mission to the world by drawing out the gifts of the Holy Spirit in all members of the Church.</w:t>
      </w:r>
    </w:p>
    <w:p w14:paraId="0C29DE43" w14:textId="77777777" w:rsidR="00C26C94" w:rsidRPr="00C26C94" w:rsidRDefault="00C26C94" w:rsidP="00C26C94">
      <w:pPr>
        <w:pStyle w:val="BodyText"/>
        <w:jc w:val="both"/>
        <w:rPr>
          <w:rFonts w:ascii="Sylfaen" w:hAnsi="Sylfaen"/>
          <w:szCs w:val="28"/>
        </w:rPr>
      </w:pPr>
    </w:p>
    <w:p w14:paraId="3D407978" w14:textId="77777777" w:rsidR="00C26C94" w:rsidRPr="00C26C94" w:rsidRDefault="00C26C94" w:rsidP="00C26C94">
      <w:pPr>
        <w:pStyle w:val="BodyText"/>
        <w:jc w:val="both"/>
        <w:rPr>
          <w:rFonts w:ascii="Sylfaen" w:hAnsi="Sylfaen"/>
          <w:szCs w:val="28"/>
        </w:rPr>
      </w:pPr>
      <w:r w:rsidRPr="00C26C94">
        <w:rPr>
          <w:rFonts w:ascii="Sylfaen" w:hAnsi="Sylfaen"/>
          <w:szCs w:val="28"/>
        </w:rPr>
        <w:lastRenderedPageBreak/>
        <w:t xml:space="preserve">2. The mission of the Church is marked by Christian love (John 13.34). We have to affirm once again that power must be subordinate to love. The power of love and the necessity for unity is reflected in this prayer of Jesus for His disciples, </w:t>
      </w:r>
      <w:r w:rsidRPr="00C26C94">
        <w:rPr>
          <w:rFonts w:ascii="Sylfaen" w:hAnsi="Sylfaen"/>
          <w:i/>
          <w:iCs/>
          <w:szCs w:val="28"/>
        </w:rPr>
        <w:t>“Holy Father, protect them by the power of your name –the name you gave me– so that they may be one as we are one”</w:t>
      </w:r>
      <w:r w:rsidRPr="00C26C94">
        <w:rPr>
          <w:rFonts w:ascii="Sylfaen" w:hAnsi="Sylfaen"/>
          <w:szCs w:val="28"/>
        </w:rPr>
        <w:t xml:space="preserve"> (John 17.11). When we have love then we can become the sign of the Kingdom of God in the world and heighten our relationships in mission with mutual respect, tolerance, understanding, acceptance, and appreciation. Most of the time, this Christian love is associated with the image of the suffering Church bearing the sign of the cross as the most vivid expression of martyrdom (Luke 14.27; I Corinthians 1.18; Galatians 6.14).</w:t>
      </w:r>
    </w:p>
    <w:p w14:paraId="6D80D538" w14:textId="77777777" w:rsidR="00C26C94" w:rsidRPr="00C26C94" w:rsidRDefault="00C26C94" w:rsidP="00C26C94">
      <w:pPr>
        <w:pStyle w:val="BodyText"/>
        <w:jc w:val="both"/>
        <w:rPr>
          <w:rFonts w:ascii="Sylfaen" w:hAnsi="Sylfaen"/>
          <w:szCs w:val="28"/>
        </w:rPr>
      </w:pPr>
    </w:p>
    <w:p w14:paraId="0280C361" w14:textId="77777777" w:rsidR="00C26C94" w:rsidRPr="00C26C94" w:rsidRDefault="00C26C94" w:rsidP="00C26C94">
      <w:pPr>
        <w:pStyle w:val="BodyText"/>
        <w:jc w:val="both"/>
        <w:rPr>
          <w:rFonts w:ascii="Sylfaen" w:hAnsi="Sylfaen"/>
          <w:szCs w:val="28"/>
        </w:rPr>
      </w:pPr>
      <w:r w:rsidRPr="00C26C94">
        <w:rPr>
          <w:rFonts w:ascii="Sylfaen" w:hAnsi="Sylfaen"/>
          <w:szCs w:val="28"/>
        </w:rPr>
        <w:t xml:space="preserve">3. The mission of the Church is carried by the active participation of the laity. Missionary engagement should be reflected on a local level as much as on a global level. Religious life and missionary calling are not isolated from our daily life. To bridge the gap separating the milieu of Sunday worship from everyday demands of life, to get the involvement of all the members of the local parish, to fulfil the social needs of the marginalized people of the community and to establish a strong bond between the family nucleus and the church unit should be on the agenda of developing the strategy of our mission and evangelism.  </w:t>
      </w:r>
    </w:p>
    <w:p w14:paraId="20D40149" w14:textId="77777777" w:rsidR="00C26C94" w:rsidRPr="00C26C94" w:rsidRDefault="00C26C94" w:rsidP="00C26C94">
      <w:pPr>
        <w:pStyle w:val="BodyText"/>
        <w:jc w:val="both"/>
        <w:rPr>
          <w:rFonts w:ascii="Sylfaen" w:hAnsi="Sylfaen"/>
          <w:szCs w:val="28"/>
        </w:rPr>
      </w:pPr>
    </w:p>
    <w:p w14:paraId="004204F9" w14:textId="77777777" w:rsidR="00C26C94" w:rsidRPr="00C26C94" w:rsidRDefault="00C26C94" w:rsidP="00C26C94">
      <w:pPr>
        <w:pStyle w:val="BodyText"/>
        <w:jc w:val="both"/>
        <w:rPr>
          <w:rFonts w:ascii="Sylfaen" w:hAnsi="Sylfaen"/>
          <w:szCs w:val="28"/>
        </w:rPr>
      </w:pPr>
      <w:r w:rsidRPr="00C26C94">
        <w:rPr>
          <w:rFonts w:ascii="Sylfaen" w:hAnsi="Sylfaen"/>
          <w:szCs w:val="28"/>
        </w:rPr>
        <w:t xml:space="preserve">4. The mission is entrusted to the missionaries by the triune God. Thus, the integrity of the people who are spreading the good news of salvation in Jesus Christ (Ephesians 1.13; II Timothy 2.10, 3.15), engaging in local and global mission, proclaiming the Kingdom of God (Mark 1.15), converting individuals and nations must live as genuine Christians and become credible witnesses, trustworthy disciples and commissioned apostles of their calling (John 20.21; Acts 20.17–38; I Peter 5.2–4; I John 1. 2–3). In the Armenian Apostolic Church, while bestowing the special authority on the celibate priest to preach the good news, the bishop offers the following prayer, “Preach confidently, without any prejudice, preach simply and clearly, preach wisely and knowledgeably. As St. Paul says, </w:t>
      </w:r>
      <w:r w:rsidRPr="00C26C94">
        <w:rPr>
          <w:rFonts w:ascii="Sylfaen" w:hAnsi="Sylfaen"/>
          <w:i/>
          <w:iCs/>
          <w:szCs w:val="28"/>
        </w:rPr>
        <w:t>“Correct, rebuke, and encourage”</w:t>
      </w:r>
      <w:r w:rsidRPr="00C26C94">
        <w:rPr>
          <w:rFonts w:ascii="Sylfaen" w:hAnsi="Sylfaen"/>
          <w:szCs w:val="28"/>
        </w:rPr>
        <w:t xml:space="preserve"> (II Timothy 4.2). And our Lord Jesus Christ will illuminate the eyes of your mind and bestow the light of wisdom so that you may be called by the Lord, </w:t>
      </w:r>
      <w:r w:rsidRPr="00C26C94">
        <w:rPr>
          <w:rFonts w:ascii="Sylfaen" w:hAnsi="Sylfaen"/>
          <w:i/>
          <w:iCs/>
          <w:szCs w:val="28"/>
        </w:rPr>
        <w:t>“The light of the world”</w:t>
      </w:r>
      <w:r w:rsidRPr="00C26C94">
        <w:rPr>
          <w:rFonts w:ascii="Sylfaen" w:hAnsi="Sylfaen"/>
          <w:szCs w:val="28"/>
        </w:rPr>
        <w:t xml:space="preserve"> (Matthew 5.14), as well as, </w:t>
      </w:r>
      <w:r w:rsidRPr="00C26C94">
        <w:rPr>
          <w:rFonts w:ascii="Sylfaen" w:hAnsi="Sylfaen"/>
          <w:i/>
          <w:iCs/>
          <w:szCs w:val="28"/>
        </w:rPr>
        <w:t>“The light within you is not darkness”</w:t>
      </w:r>
      <w:r w:rsidRPr="00C26C94">
        <w:rPr>
          <w:rFonts w:ascii="Sylfaen" w:hAnsi="Sylfaen"/>
          <w:szCs w:val="28"/>
        </w:rPr>
        <w:t xml:space="preserve"> (Luke 11.35) and being totally enlightened, you may rise as the sun in the Kingdom of God, along with all the </w:t>
      </w:r>
      <w:r w:rsidRPr="00C26C94">
        <w:rPr>
          <w:rFonts w:ascii="Sylfaen" w:hAnsi="Sylfaen"/>
          <w:szCs w:val="28"/>
        </w:rPr>
        <w:lastRenderedPageBreak/>
        <w:t xml:space="preserve">saints, according to the commandments of our Lord Jesus Christ. Amen” (Fourth Rank of Dzayrakooyn Vartabed). </w:t>
      </w:r>
    </w:p>
    <w:p w14:paraId="7FC57874" w14:textId="77777777" w:rsidR="00C26C94" w:rsidRPr="00C26C94" w:rsidRDefault="00C26C94" w:rsidP="00C26C94">
      <w:pPr>
        <w:pStyle w:val="BodyText"/>
        <w:jc w:val="both"/>
        <w:rPr>
          <w:rFonts w:ascii="Sylfaen" w:hAnsi="Sylfaen"/>
          <w:szCs w:val="28"/>
        </w:rPr>
      </w:pPr>
    </w:p>
    <w:p w14:paraId="55AAFC97" w14:textId="77777777" w:rsidR="00C26C94" w:rsidRPr="00C26C94" w:rsidRDefault="00C26C94" w:rsidP="00C26C94">
      <w:pPr>
        <w:pStyle w:val="BodyText"/>
        <w:jc w:val="both"/>
        <w:rPr>
          <w:rFonts w:ascii="Sylfaen" w:hAnsi="Sylfaen"/>
          <w:szCs w:val="28"/>
        </w:rPr>
      </w:pPr>
      <w:r w:rsidRPr="00C26C94">
        <w:rPr>
          <w:rFonts w:ascii="Sylfaen" w:hAnsi="Sylfaen"/>
          <w:szCs w:val="28"/>
        </w:rPr>
        <w:t>5. Gospel addresses itself to power relationships in society (Mark 9.1; Ephesians 6.12). Nowadays witness to the gospel is at risk because of the emergence of globalization, fragmentation, post-modernism, fundamentalism, consumerism, secularism, racism, free-market economy, New Age movements, cyberspace communication and many other ideological, scientific and technological developments. Sometimes we compromise by utilizing these developments and/or critiquing them from a Christian outlook. From a mission and evangelism perspective, we are dealing with the major threat of the freedom of almost everything, including religion, which is dooming the order of our society to anarchy and destruction. In this war against commercialized religion and economic slavery, the Holy Spirit should sustain us to carry our mission of evangelism (Acts 1.8).</w:t>
      </w:r>
    </w:p>
    <w:p w14:paraId="1BA91E13" w14:textId="77777777" w:rsidR="00C26C94" w:rsidRPr="00C26C94" w:rsidRDefault="00C26C94" w:rsidP="00C26C94">
      <w:pPr>
        <w:pStyle w:val="BodyText"/>
        <w:jc w:val="both"/>
        <w:rPr>
          <w:rFonts w:ascii="Sylfaen" w:hAnsi="Sylfaen"/>
          <w:szCs w:val="28"/>
        </w:rPr>
      </w:pPr>
    </w:p>
    <w:p w14:paraId="41F383FD" w14:textId="77777777" w:rsidR="00C26C94" w:rsidRPr="00C26C94" w:rsidRDefault="00C26C94" w:rsidP="00C26C94">
      <w:pPr>
        <w:pStyle w:val="BodyText"/>
        <w:jc w:val="both"/>
        <w:rPr>
          <w:rFonts w:ascii="Sylfaen" w:hAnsi="Sylfaen"/>
          <w:szCs w:val="28"/>
        </w:rPr>
      </w:pPr>
      <w:r w:rsidRPr="00C26C94">
        <w:rPr>
          <w:rFonts w:ascii="Sylfaen" w:hAnsi="Sylfaen"/>
          <w:szCs w:val="28"/>
        </w:rPr>
        <w:t>6. Geographical immensity on the one hand and denominational and confessional lines on the other hand underline the importance of respecting spiritual, linguistic, cultural and ethnic traditions and values of a given society and challenging them with the biblical message. This is possible when we can transmit the message of God by speaking the language of the people. There is a fine line between a national church and a nationalistic church. In this respect the missionary role of the national churches, the Armenian Apostolic Church being one of them, is very delicate and crucial in the inculturation of the Gospel rooted in deep spiritual roots and voicing the religious and worldly aspirations of the faithful. We are obliged to emphasize that in different churches and languages we worship the same God, we accept the same Christ and we receive the same Holy Spirit.</w:t>
      </w:r>
    </w:p>
    <w:p w14:paraId="361B4685" w14:textId="77777777" w:rsidR="00C26C94" w:rsidRPr="00C26C94" w:rsidRDefault="00C26C94" w:rsidP="00C26C94">
      <w:pPr>
        <w:pStyle w:val="BodyText"/>
        <w:jc w:val="both"/>
        <w:rPr>
          <w:rFonts w:ascii="Sylfaen" w:hAnsi="Sylfaen"/>
          <w:szCs w:val="28"/>
        </w:rPr>
      </w:pPr>
    </w:p>
    <w:p w14:paraId="4F6D2C57" w14:textId="77777777" w:rsidR="00C26C94" w:rsidRPr="00C26C94" w:rsidRDefault="00C26C94" w:rsidP="00C26C94">
      <w:pPr>
        <w:pStyle w:val="BodyText"/>
        <w:jc w:val="both"/>
        <w:rPr>
          <w:rFonts w:ascii="Sylfaen" w:hAnsi="Sylfaen"/>
          <w:szCs w:val="28"/>
        </w:rPr>
      </w:pPr>
      <w:r w:rsidRPr="00C26C94">
        <w:rPr>
          <w:rFonts w:ascii="Sylfaen" w:hAnsi="Sylfaen"/>
          <w:szCs w:val="28"/>
        </w:rPr>
        <w:t xml:space="preserve">7. Lack of responsible relationships in mission divides and severs Christians more than doctrinal differences. Proselytism is not only the violation of the boundary of a certain denomination or an attempt to expand into the territory of a given church by another missionary group, it is also the destructive motif of hate, seduction techniques and the negation of sharing human, spiritual and material resources in a toxic atmosphere of competitiveness in our common mission and </w:t>
      </w:r>
      <w:r w:rsidRPr="00C26C94">
        <w:rPr>
          <w:rFonts w:ascii="Sylfaen" w:hAnsi="Sylfaen"/>
          <w:szCs w:val="28"/>
        </w:rPr>
        <w:lastRenderedPageBreak/>
        <w:t>evangelism. We are in communion and community in the presence of the Holy Spirit, where difference need not mean division but the credible practice of collaboration. Instead of invading canonical Christian territories, we have to reach out to the former Christians of various sects and protect the Church against the danger of further fragmentation and bar the penetration of false doctrines into our households. (I am not questioning the sincerity of the missionaries, but bringing into your attention the reaction of the Orthodox faithful in the context of their historical homelands and national churches. Missionary activities should be carried in the framework of ecclesiology).</w:t>
      </w:r>
    </w:p>
    <w:p w14:paraId="2A4ADF25" w14:textId="77777777" w:rsidR="00C26C94" w:rsidRPr="00C26C94" w:rsidRDefault="00C26C94" w:rsidP="00C26C94">
      <w:pPr>
        <w:pStyle w:val="BodyText"/>
        <w:jc w:val="both"/>
        <w:rPr>
          <w:rFonts w:ascii="Sylfaen" w:hAnsi="Sylfaen"/>
          <w:szCs w:val="28"/>
        </w:rPr>
      </w:pPr>
    </w:p>
    <w:p w14:paraId="155F6A9B" w14:textId="77777777" w:rsidR="00C26C94" w:rsidRPr="00C26C94" w:rsidRDefault="00C26C94" w:rsidP="00C26C94">
      <w:pPr>
        <w:pStyle w:val="BodyText"/>
        <w:jc w:val="both"/>
        <w:rPr>
          <w:rFonts w:ascii="Sylfaen" w:hAnsi="Sylfaen"/>
          <w:szCs w:val="28"/>
        </w:rPr>
      </w:pPr>
      <w:r w:rsidRPr="00C26C94">
        <w:rPr>
          <w:rFonts w:ascii="Sylfaen" w:hAnsi="Sylfaen"/>
          <w:szCs w:val="28"/>
        </w:rPr>
        <w:t>8. In this day and age of communication, interfaith dialogue serves the purpose of knowing the members of other faiths as fully as possible and co-operating with them in partnership to tackle the common issues threatening daily life and the dignified existence of all human beings. While resisting radical religious fundamentalism, building sincere relationships with peoples of other faiths through constructive dialogue, mutual trust, sensitivity, sharing, and hospitality should not be overlooked by Christians in their commitment of preaching Christ to the entire world.</w:t>
      </w:r>
    </w:p>
    <w:p w14:paraId="08897FD3" w14:textId="77777777" w:rsidR="00C26C94" w:rsidRPr="00C26C94" w:rsidRDefault="00C26C94" w:rsidP="00C26C94">
      <w:pPr>
        <w:pStyle w:val="BodyText"/>
        <w:jc w:val="both"/>
        <w:rPr>
          <w:rFonts w:ascii="Sylfaen" w:hAnsi="Sylfaen"/>
          <w:szCs w:val="28"/>
        </w:rPr>
      </w:pPr>
    </w:p>
    <w:p w14:paraId="1DF96805" w14:textId="77777777" w:rsidR="00C26C94" w:rsidRPr="00C26C94" w:rsidRDefault="00C26C94" w:rsidP="00C26C94">
      <w:pPr>
        <w:pStyle w:val="BodyText"/>
        <w:jc w:val="both"/>
        <w:rPr>
          <w:rFonts w:ascii="Sylfaen" w:hAnsi="Sylfaen"/>
          <w:szCs w:val="28"/>
        </w:rPr>
      </w:pPr>
      <w:r w:rsidRPr="00C26C94">
        <w:rPr>
          <w:rFonts w:ascii="Sylfaen" w:hAnsi="Sylfaen"/>
          <w:szCs w:val="28"/>
        </w:rPr>
        <w:t>V. Rev. Nareg Alemezian</w:t>
      </w:r>
    </w:p>
    <w:p w14:paraId="04183B4C" w14:textId="77777777" w:rsidR="00C26C94" w:rsidRPr="00C26C94" w:rsidRDefault="00C26C94" w:rsidP="00C26C94">
      <w:pPr>
        <w:pStyle w:val="BodyText"/>
        <w:jc w:val="both"/>
        <w:rPr>
          <w:rFonts w:ascii="Sylfaen" w:hAnsi="Sylfaen"/>
          <w:szCs w:val="28"/>
        </w:rPr>
      </w:pPr>
      <w:r w:rsidRPr="00C26C94">
        <w:rPr>
          <w:rFonts w:ascii="Sylfaen" w:hAnsi="Sylfaen"/>
          <w:szCs w:val="28"/>
        </w:rPr>
        <w:t>Ridgefield-New Jersey, USA</w:t>
      </w:r>
    </w:p>
    <w:p w14:paraId="085A1F53" w14:textId="30A77DEB" w:rsidR="007D7895" w:rsidRPr="00C26C94" w:rsidRDefault="00C26C94" w:rsidP="00C26C94">
      <w:pPr>
        <w:rPr>
          <w:sz w:val="28"/>
          <w:szCs w:val="28"/>
        </w:rPr>
      </w:pPr>
      <w:r w:rsidRPr="00C26C94">
        <w:rPr>
          <w:rFonts w:ascii="Sylfaen" w:hAnsi="Sylfaen"/>
          <w:sz w:val="28"/>
          <w:szCs w:val="28"/>
        </w:rPr>
        <w:t>30 April 1997</w:t>
      </w:r>
    </w:p>
    <w:sectPr w:rsidR="007D7895" w:rsidRPr="00C26C94">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B32DF8" w14:textId="77777777" w:rsidR="009565A9" w:rsidRDefault="009565A9" w:rsidP="006D0157">
      <w:r>
        <w:separator/>
      </w:r>
    </w:p>
  </w:endnote>
  <w:endnote w:type="continuationSeparator" w:id="0">
    <w:p w14:paraId="4899805C" w14:textId="77777777" w:rsidR="009565A9" w:rsidRDefault="009565A9" w:rsidP="006D0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55444435"/>
      <w:docPartObj>
        <w:docPartGallery w:val="Page Numbers (Bottom of Page)"/>
        <w:docPartUnique/>
      </w:docPartObj>
    </w:sdtPr>
    <w:sdtContent>
      <w:p w14:paraId="19556424" w14:textId="2D0A1F67" w:rsidR="006D0157" w:rsidRDefault="006D0157"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B279A40" w14:textId="77777777" w:rsidR="006D0157" w:rsidRDefault="006D01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2396135"/>
      <w:docPartObj>
        <w:docPartGallery w:val="Page Numbers (Bottom of Page)"/>
        <w:docPartUnique/>
      </w:docPartObj>
    </w:sdtPr>
    <w:sdtContent>
      <w:p w14:paraId="2381B396" w14:textId="3837E8F8" w:rsidR="006D0157" w:rsidRDefault="006D0157"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30E37DC" w14:textId="77777777" w:rsidR="006D0157" w:rsidRDefault="006D01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B9AA2A" w14:textId="77777777" w:rsidR="009565A9" w:rsidRDefault="009565A9" w:rsidP="006D0157">
      <w:r>
        <w:separator/>
      </w:r>
    </w:p>
  </w:footnote>
  <w:footnote w:type="continuationSeparator" w:id="0">
    <w:p w14:paraId="494A2193" w14:textId="77777777" w:rsidR="009565A9" w:rsidRDefault="009565A9" w:rsidP="006D0157">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C94"/>
    <w:rsid w:val="00157BF2"/>
    <w:rsid w:val="003D7CBC"/>
    <w:rsid w:val="005824C9"/>
    <w:rsid w:val="006D0157"/>
    <w:rsid w:val="007D7895"/>
    <w:rsid w:val="009565A9"/>
    <w:rsid w:val="00B41865"/>
    <w:rsid w:val="00C26C94"/>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F32FA2F"/>
  <w15:chartTrackingRefBased/>
  <w15:docId w15:val="{718510D1-C393-4748-A112-F440CB66C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C94"/>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C26C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26C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26C9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26C9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26C9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26C9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26C9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26C9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26C9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C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26C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26C9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26C9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26C9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26C9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26C9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26C9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26C9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26C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C9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26C9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C9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26C94"/>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C26C94"/>
    <w:rPr>
      <w:i/>
      <w:iCs/>
      <w:color w:val="404040" w:themeColor="text1" w:themeTint="BF"/>
    </w:rPr>
  </w:style>
  <w:style w:type="paragraph" w:styleId="ListParagraph">
    <w:name w:val="List Paragraph"/>
    <w:basedOn w:val="Normal"/>
    <w:uiPriority w:val="34"/>
    <w:qFormat/>
    <w:rsid w:val="00C26C94"/>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C26C94"/>
    <w:rPr>
      <w:i/>
      <w:iCs/>
      <w:color w:val="2F5496" w:themeColor="accent1" w:themeShade="BF"/>
    </w:rPr>
  </w:style>
  <w:style w:type="paragraph" w:styleId="IntenseQuote">
    <w:name w:val="Intense Quote"/>
    <w:basedOn w:val="Normal"/>
    <w:next w:val="Normal"/>
    <w:link w:val="IntenseQuoteChar"/>
    <w:uiPriority w:val="30"/>
    <w:qFormat/>
    <w:rsid w:val="00C26C94"/>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C26C94"/>
    <w:rPr>
      <w:i/>
      <w:iCs/>
      <w:color w:val="2F5496" w:themeColor="accent1" w:themeShade="BF"/>
    </w:rPr>
  </w:style>
  <w:style w:type="character" w:styleId="IntenseReference">
    <w:name w:val="Intense Reference"/>
    <w:basedOn w:val="DefaultParagraphFont"/>
    <w:uiPriority w:val="32"/>
    <w:qFormat/>
    <w:rsid w:val="00C26C94"/>
    <w:rPr>
      <w:b/>
      <w:bCs/>
      <w:smallCaps/>
      <w:color w:val="2F5496" w:themeColor="accent1" w:themeShade="BF"/>
      <w:spacing w:val="5"/>
    </w:rPr>
  </w:style>
  <w:style w:type="paragraph" w:styleId="BodyText">
    <w:name w:val="Body Text"/>
    <w:basedOn w:val="Normal"/>
    <w:link w:val="BodyTextChar"/>
    <w:rsid w:val="00C26C94"/>
    <w:rPr>
      <w:rFonts w:ascii="Aramian New" w:hAnsi="Aramian New"/>
      <w:sz w:val="28"/>
      <w:szCs w:val="20"/>
    </w:rPr>
  </w:style>
  <w:style w:type="character" w:customStyle="1" w:styleId="BodyTextChar">
    <w:name w:val="Body Text Char"/>
    <w:basedOn w:val="DefaultParagraphFont"/>
    <w:link w:val="BodyText"/>
    <w:rsid w:val="00C26C94"/>
    <w:rPr>
      <w:rFonts w:ascii="Aramian New" w:eastAsia="Times New Roman" w:hAnsi="Aramian New" w:cs="Times New Roman"/>
      <w:color w:val="auto"/>
      <w:sz w:val="28"/>
      <w:szCs w:val="20"/>
    </w:rPr>
  </w:style>
  <w:style w:type="paragraph" w:styleId="Footer">
    <w:name w:val="footer"/>
    <w:basedOn w:val="Normal"/>
    <w:link w:val="FooterChar"/>
    <w:uiPriority w:val="99"/>
    <w:unhideWhenUsed/>
    <w:rsid w:val="006D0157"/>
    <w:pPr>
      <w:tabs>
        <w:tab w:val="center" w:pos="4680"/>
        <w:tab w:val="right" w:pos="9360"/>
      </w:tabs>
    </w:pPr>
  </w:style>
  <w:style w:type="character" w:customStyle="1" w:styleId="FooterChar">
    <w:name w:val="Footer Char"/>
    <w:basedOn w:val="DefaultParagraphFont"/>
    <w:link w:val="Footer"/>
    <w:uiPriority w:val="99"/>
    <w:rsid w:val="006D0157"/>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6D0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1262</Words>
  <Characters>7200</Characters>
  <Application>Microsoft Office Word</Application>
  <DocSecurity>0</DocSecurity>
  <Lines>60</Lines>
  <Paragraphs>16</Paragraphs>
  <ScaleCrop>false</ScaleCrop>
  <Company/>
  <LinksUpToDate>false</LinksUpToDate>
  <CharactersWithSpaces>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2026-07-06T18:22:00Z</dcterms:created>
  <dcterms:modified xsi:type="dcterms:W3CDTF">2026-07-07T12:47:00Z</dcterms:modified>
</cp:coreProperties>
</file>